
<file path=[Content_Types].xml><?xml version="1.0" encoding="utf-8"?>
<Types xmlns="http://schemas.openxmlformats.org/package/2006/content-types">
  <Default Extension="png" ContentType="image/png"/>
  <Default Extension="w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EC" w:rsidRPr="009C1EBA" w:rsidRDefault="009C1EBA">
      <w:pPr>
        <w:pStyle w:val="Standard"/>
        <w:spacing w:before="80" w:after="120" w:line="240" w:lineRule="auto"/>
        <w:jc w:val="right"/>
        <w:rPr>
          <w:rFonts w:ascii="Arial" w:hAnsi="Arial" w:cs="Arial"/>
          <w:b/>
          <w:i/>
          <w:sz w:val="16"/>
          <w:szCs w:val="16"/>
        </w:rPr>
      </w:pPr>
      <w:r w:rsidRPr="009C1EBA">
        <w:rPr>
          <w:noProof/>
          <w:lang w:eastAsia="it-IT"/>
        </w:rPr>
        <w:drawing>
          <wp:anchor distT="0" distB="0" distL="114300" distR="114300" simplePos="0" relativeHeight="251659264" behindDoc="1" locked="0" layoutInCell="1" allowOverlap="1" wp14:anchorId="6D7A7564" wp14:editId="0DF68015">
            <wp:simplePos x="0" y="0"/>
            <wp:positionH relativeFrom="column">
              <wp:posOffset>-111125</wp:posOffset>
            </wp:positionH>
            <wp:positionV relativeFrom="paragraph">
              <wp:posOffset>111125</wp:posOffset>
            </wp:positionV>
            <wp:extent cx="1456055" cy="1776730"/>
            <wp:effectExtent l="0" t="0" r="0" b="0"/>
            <wp:wrapTight wrapText="bothSides">
              <wp:wrapPolygon edited="0">
                <wp:start x="0" y="0"/>
                <wp:lineTo x="0" y="21307"/>
                <wp:lineTo x="21195" y="21307"/>
                <wp:lineTo x="21195" y="0"/>
                <wp:lineTo x="0" y="0"/>
              </wp:wrapPolygon>
            </wp:wrapTight>
            <wp:docPr id="5" name="Immagine 10" descr="Stemma del Comune di Cinte Te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Stemma del Comune di Cinte Tesino"/>
                    <pic:cNvPicPr>
                      <a:picLocks noChangeAspect="1" noChangeArrowheads="1"/>
                    </pic:cNvPicPr>
                  </pic:nvPicPr>
                  <pic:blipFill>
                    <a:blip r:embed="rId7" r:link="rId8" cstate="print"/>
                    <a:srcRect/>
                    <a:stretch>
                      <a:fillRect/>
                    </a:stretch>
                  </pic:blipFill>
                  <pic:spPr bwMode="auto">
                    <a:xfrm>
                      <a:off x="0" y="0"/>
                      <a:ext cx="1456055" cy="1776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7FEC" w:rsidRPr="009C1EBA" w:rsidRDefault="00917FEC">
      <w:pPr>
        <w:pStyle w:val="Standard"/>
        <w:spacing w:before="80" w:after="120" w:line="240" w:lineRule="auto"/>
        <w:jc w:val="center"/>
        <w:rPr>
          <w:rFonts w:ascii="Arial" w:hAnsi="Arial" w:cs="Arial"/>
          <w:b/>
          <w:i/>
          <w:sz w:val="16"/>
          <w:szCs w:val="16"/>
        </w:rPr>
      </w:pPr>
    </w:p>
    <w:p w:rsidR="00917FEC" w:rsidRPr="009C1EBA" w:rsidRDefault="00A91522" w:rsidP="009C1EBA">
      <w:pPr>
        <w:pStyle w:val="Standard"/>
        <w:spacing w:before="80" w:after="120" w:line="240" w:lineRule="auto"/>
        <w:jc w:val="right"/>
        <w:rPr>
          <w:rFonts w:ascii="Arial" w:hAnsi="Arial" w:cs="Arial"/>
          <w:b/>
          <w:sz w:val="56"/>
          <w:szCs w:val="56"/>
        </w:rPr>
      </w:pPr>
      <w:r w:rsidRPr="009C1EBA">
        <w:rPr>
          <w:rFonts w:ascii="Arial" w:hAnsi="Arial" w:cs="Arial"/>
          <w:b/>
          <w:sz w:val="56"/>
          <w:szCs w:val="56"/>
        </w:rPr>
        <w:t>COMUNE DI</w:t>
      </w:r>
      <w:r w:rsidR="00724110" w:rsidRPr="009C1EBA">
        <w:rPr>
          <w:rFonts w:ascii="Arial" w:hAnsi="Arial" w:cs="Arial"/>
          <w:b/>
          <w:sz w:val="56"/>
          <w:szCs w:val="56"/>
        </w:rPr>
        <w:t xml:space="preserve"> CINTE TESINO</w:t>
      </w:r>
    </w:p>
    <w:p w:rsidR="00917FEC" w:rsidRPr="009C1EBA" w:rsidRDefault="00A91522">
      <w:pPr>
        <w:pStyle w:val="Standard"/>
        <w:tabs>
          <w:tab w:val="left" w:pos="7560"/>
        </w:tabs>
        <w:spacing w:before="80" w:after="120" w:line="240" w:lineRule="auto"/>
        <w:jc w:val="center"/>
        <w:rPr>
          <w:rFonts w:ascii="Arial" w:hAnsi="Arial" w:cs="Arial"/>
          <w:b/>
          <w:sz w:val="56"/>
          <w:szCs w:val="56"/>
        </w:rPr>
      </w:pPr>
      <w:r w:rsidRPr="009C1EBA">
        <w:rPr>
          <w:rFonts w:ascii="Arial" w:hAnsi="Arial" w:cs="Arial"/>
          <w:b/>
          <w:sz w:val="40"/>
          <w:szCs w:val="40"/>
        </w:rPr>
        <w:t xml:space="preserve">Provincia Autonoma </w:t>
      </w:r>
      <w:r w:rsidR="00724110" w:rsidRPr="009C1EBA">
        <w:rPr>
          <w:rFonts w:ascii="Arial" w:hAnsi="Arial" w:cs="Arial"/>
          <w:b/>
          <w:sz w:val="40"/>
          <w:szCs w:val="40"/>
        </w:rPr>
        <w:t xml:space="preserve">di </w:t>
      </w:r>
      <w:r w:rsidRPr="009C1EBA">
        <w:rPr>
          <w:rFonts w:ascii="Arial" w:hAnsi="Arial" w:cs="Arial"/>
          <w:b/>
          <w:sz w:val="40"/>
          <w:szCs w:val="40"/>
        </w:rPr>
        <w:t>Trento</w:t>
      </w:r>
    </w:p>
    <w:p w:rsidR="00917FEC" w:rsidRPr="009C1EBA" w:rsidRDefault="00917FEC">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724110" w:rsidRPr="009C1EBA" w:rsidRDefault="00724110">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724110" w:rsidRDefault="00724110">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9C1EBA" w:rsidRDefault="009C1EBA">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9C1EBA" w:rsidRPr="009C1EBA" w:rsidRDefault="009C1EBA">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BA2799" w:rsidRPr="009C1EBA" w:rsidRDefault="00BA2799" w:rsidP="00BA2799">
      <w:pPr>
        <w:jc w:val="center"/>
        <w:rPr>
          <w:b/>
          <w:bCs/>
          <w:sz w:val="28"/>
          <w:szCs w:val="28"/>
        </w:rPr>
      </w:pPr>
      <w:r w:rsidRPr="009C1EBA">
        <w:rPr>
          <w:b/>
          <w:bCs/>
          <w:sz w:val="28"/>
          <w:szCs w:val="28"/>
        </w:rPr>
        <w:t>Legge n. 190 del 06/11/2012</w:t>
      </w:r>
    </w:p>
    <w:p w:rsidR="00BA2799" w:rsidRPr="009C1EBA" w:rsidRDefault="00BA2799" w:rsidP="00BA2799">
      <w:pPr>
        <w:kinsoku w:val="0"/>
        <w:overflowPunct w:val="0"/>
        <w:jc w:val="center"/>
        <w:rPr>
          <w:b/>
          <w:bCs/>
          <w:sz w:val="28"/>
          <w:szCs w:val="28"/>
        </w:rPr>
      </w:pPr>
      <w:r w:rsidRPr="009C1EBA">
        <w:rPr>
          <w:b/>
          <w:bCs/>
          <w:sz w:val="28"/>
          <w:szCs w:val="28"/>
        </w:rPr>
        <w:t xml:space="preserve">Disposizioni per la prevenzione e la repressione della corruzione </w:t>
      </w:r>
    </w:p>
    <w:p w:rsidR="00BA2799" w:rsidRPr="009C1EBA" w:rsidRDefault="00BA2799" w:rsidP="00BA2799">
      <w:pPr>
        <w:kinsoku w:val="0"/>
        <w:overflowPunct w:val="0"/>
        <w:jc w:val="center"/>
        <w:rPr>
          <w:b/>
          <w:bCs/>
          <w:sz w:val="28"/>
          <w:szCs w:val="28"/>
        </w:rPr>
      </w:pPr>
      <w:r w:rsidRPr="009C1EBA">
        <w:rPr>
          <w:b/>
          <w:bCs/>
          <w:sz w:val="28"/>
          <w:szCs w:val="28"/>
        </w:rPr>
        <w:t>e dell’illegalità nella pubblica amministrazione</w:t>
      </w:r>
    </w:p>
    <w:p w:rsidR="00A67240" w:rsidRDefault="00A67240">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9C1EBA" w:rsidRPr="009C1EBA" w:rsidRDefault="009C1EBA">
      <w:pPr>
        <w:pStyle w:val="Standard"/>
        <w:widowControl w:val="0"/>
        <w:tabs>
          <w:tab w:val="left" w:pos="447"/>
        </w:tabs>
        <w:autoSpaceDE w:val="0"/>
        <w:spacing w:before="80" w:after="120" w:line="240" w:lineRule="auto"/>
        <w:jc w:val="center"/>
        <w:rPr>
          <w:rFonts w:ascii="Arial" w:eastAsia="Calibri" w:hAnsi="Arial" w:cs="Arial"/>
          <w:b/>
          <w:sz w:val="21"/>
          <w:szCs w:val="21"/>
        </w:rPr>
      </w:pPr>
    </w:p>
    <w:p w:rsidR="00A67240" w:rsidRPr="009C1EBA" w:rsidRDefault="00A91522" w:rsidP="009C1EBA">
      <w:pPr>
        <w:pStyle w:val="Standard"/>
        <w:widowControl w:val="0"/>
        <w:tabs>
          <w:tab w:val="left" w:pos="447"/>
        </w:tabs>
        <w:autoSpaceDE w:val="0"/>
        <w:spacing w:after="0" w:line="360" w:lineRule="auto"/>
        <w:jc w:val="center"/>
        <w:rPr>
          <w:rFonts w:ascii="Arial" w:eastAsia="Calibri" w:hAnsi="Arial" w:cs="Arial"/>
          <w:b/>
          <w:sz w:val="52"/>
          <w:szCs w:val="52"/>
        </w:rPr>
      </w:pPr>
      <w:r w:rsidRPr="009C1EBA">
        <w:rPr>
          <w:rFonts w:ascii="Arial" w:eastAsia="Calibri" w:hAnsi="Arial" w:cs="Arial"/>
          <w:b/>
          <w:sz w:val="52"/>
          <w:szCs w:val="52"/>
        </w:rPr>
        <w:t>PIANO TRIENNALE DI PREVENZIONE DELLA CORRUZI</w:t>
      </w:r>
      <w:r w:rsidR="00A67240" w:rsidRPr="009C1EBA">
        <w:rPr>
          <w:rFonts w:ascii="Arial" w:eastAsia="Calibri" w:hAnsi="Arial" w:cs="Arial"/>
          <w:b/>
          <w:sz w:val="52"/>
          <w:szCs w:val="52"/>
        </w:rPr>
        <w:t>ONE E DELLA TRASPARENZA (PTPCT)</w:t>
      </w:r>
    </w:p>
    <w:p w:rsidR="00917FEC" w:rsidRPr="009C1EBA" w:rsidRDefault="00A91522" w:rsidP="009C1EBA">
      <w:pPr>
        <w:pStyle w:val="Standard"/>
        <w:widowControl w:val="0"/>
        <w:tabs>
          <w:tab w:val="left" w:pos="447"/>
        </w:tabs>
        <w:autoSpaceDE w:val="0"/>
        <w:spacing w:after="0" w:line="360" w:lineRule="auto"/>
        <w:jc w:val="center"/>
        <w:rPr>
          <w:rFonts w:ascii="Arial" w:eastAsia="Calibri" w:hAnsi="Arial" w:cs="Arial"/>
          <w:b/>
          <w:sz w:val="52"/>
          <w:szCs w:val="52"/>
        </w:rPr>
      </w:pPr>
      <w:r w:rsidRPr="009C1EBA">
        <w:rPr>
          <w:rFonts w:ascii="Arial" w:eastAsia="Calibri" w:hAnsi="Arial" w:cs="Arial"/>
          <w:b/>
          <w:sz w:val="52"/>
          <w:szCs w:val="52"/>
        </w:rPr>
        <w:t>2018-2020</w:t>
      </w:r>
    </w:p>
    <w:p w:rsidR="00A67240" w:rsidRPr="009C1EBA" w:rsidRDefault="00D46219" w:rsidP="00A67240">
      <w:pPr>
        <w:jc w:val="center"/>
        <w:rPr>
          <w:rFonts w:ascii="Trebuchet MS" w:hAnsi="Trebuchet MS" w:cs="Trebuchet MS"/>
          <w:b/>
        </w:rPr>
      </w:pPr>
      <w:r w:rsidRPr="009C1EBA">
        <w:rPr>
          <w:rFonts w:ascii="Trebuchet MS" w:hAnsi="Trebuchet MS" w:cs="Trebuchet MS"/>
          <w:b/>
        </w:rPr>
        <w:t>a</w:t>
      </w:r>
      <w:r w:rsidR="00A67240" w:rsidRPr="009C1EBA">
        <w:rPr>
          <w:rFonts w:ascii="Trebuchet MS" w:hAnsi="Trebuchet MS" w:cs="Trebuchet MS"/>
          <w:b/>
        </w:rPr>
        <w:t>pprovato con deliberazione della Giunta comunale n. 5 dd. 31.01.2018</w:t>
      </w:r>
    </w:p>
    <w:p w:rsidR="00A67240" w:rsidRPr="009C1EBA" w:rsidRDefault="00A67240" w:rsidP="00A67240">
      <w:pPr>
        <w:jc w:val="center"/>
        <w:rPr>
          <w:rFonts w:ascii="Trebuchet MS" w:hAnsi="Trebuchet MS" w:cs="Trebuchet MS"/>
          <w:b/>
        </w:rPr>
      </w:pPr>
    </w:p>
    <w:p w:rsidR="00A67240" w:rsidRPr="009C1EBA" w:rsidRDefault="00A67240" w:rsidP="00A67240">
      <w:pPr>
        <w:jc w:val="center"/>
        <w:rPr>
          <w:rFonts w:ascii="Trebuchet MS" w:hAnsi="Trebuchet MS" w:cs="Trebuchet MS"/>
          <w:b/>
        </w:rPr>
      </w:pPr>
    </w:p>
    <w:p w:rsidR="009C1EBA" w:rsidRPr="009C1EBA" w:rsidRDefault="009C1EBA" w:rsidP="00A67240">
      <w:pPr>
        <w:jc w:val="center"/>
        <w:rPr>
          <w:rFonts w:ascii="Trebuchet MS" w:hAnsi="Trebuchet MS" w:cs="Trebuchet MS"/>
          <w:b/>
        </w:rPr>
      </w:pPr>
    </w:p>
    <w:p w:rsidR="00A67240" w:rsidRPr="009C1EBA" w:rsidRDefault="00A67240" w:rsidP="00A67240">
      <w:pPr>
        <w:suppressAutoHyphens w:val="0"/>
        <w:rPr>
          <w:rFonts w:ascii="Times New Roman" w:hAnsi="Times New Roman" w:cs="Times New Roman"/>
          <w:sz w:val="20"/>
          <w:szCs w:val="20"/>
          <w:lang w:eastAsia="en-US"/>
        </w:rPr>
      </w:pPr>
      <w:r w:rsidRPr="009C1EBA">
        <w:rPr>
          <w:rFonts w:ascii="Times New Roman" w:hAnsi="Times New Roman" w:cs="Times New Roman"/>
          <w:sz w:val="20"/>
          <w:szCs w:val="20"/>
          <w:lang w:eastAsia="en-US"/>
        </w:rPr>
        <w:t>Elenco cronologico delibere di approvazione:</w:t>
      </w:r>
    </w:p>
    <w:p w:rsidR="00A67240" w:rsidRPr="009C1EBA" w:rsidRDefault="00A67240" w:rsidP="00A67240">
      <w:pPr>
        <w:suppressAutoHyphens w:val="0"/>
        <w:rPr>
          <w:rFonts w:ascii="Times New Roman" w:hAnsi="Times New Roman" w:cs="Times New Roman"/>
          <w:sz w:val="20"/>
          <w:szCs w:val="20"/>
          <w:lang w:eastAsia="en-US"/>
        </w:rPr>
      </w:pPr>
    </w:p>
    <w:p w:rsidR="00A67240" w:rsidRPr="009C1EBA" w:rsidRDefault="00A67240" w:rsidP="00A67240">
      <w:pPr>
        <w:widowControl/>
        <w:numPr>
          <w:ilvl w:val="0"/>
          <w:numId w:val="31"/>
        </w:numPr>
        <w:tabs>
          <w:tab w:val="left" w:pos="426"/>
        </w:tabs>
        <w:suppressAutoHyphens w:val="0"/>
        <w:autoSpaceDN/>
        <w:ind w:hanging="720"/>
        <w:textAlignment w:val="auto"/>
        <w:rPr>
          <w:rFonts w:ascii="Times New Roman" w:hAnsi="Times New Roman" w:cs="Times New Roman"/>
          <w:sz w:val="20"/>
          <w:szCs w:val="20"/>
          <w:lang w:eastAsia="en-US"/>
        </w:rPr>
      </w:pPr>
      <w:r w:rsidRPr="009C1EBA">
        <w:rPr>
          <w:rFonts w:ascii="Times New Roman" w:hAnsi="Times New Roman" w:cs="Times New Roman"/>
          <w:sz w:val="20"/>
          <w:szCs w:val="20"/>
          <w:lang w:eastAsia="en-US"/>
        </w:rPr>
        <w:t xml:space="preserve">PIANO TRIENNALE DI PREVENZIONE DELLA CORRUZIONE (2014-2016) </w:t>
      </w:r>
    </w:p>
    <w:p w:rsidR="00A67240" w:rsidRPr="009C1EBA" w:rsidRDefault="00A67240" w:rsidP="00A67240">
      <w:pPr>
        <w:tabs>
          <w:tab w:val="left" w:pos="426"/>
        </w:tabs>
        <w:suppressAutoHyphens w:val="0"/>
        <w:rPr>
          <w:rFonts w:ascii="Times New Roman" w:hAnsi="Times New Roman" w:cs="Times New Roman"/>
          <w:sz w:val="20"/>
          <w:szCs w:val="20"/>
          <w:lang w:eastAsia="en-US"/>
        </w:rPr>
      </w:pPr>
      <w:r w:rsidRPr="009C1EBA">
        <w:rPr>
          <w:rFonts w:ascii="Times New Roman" w:hAnsi="Times New Roman" w:cs="Times New Roman"/>
          <w:sz w:val="20"/>
          <w:szCs w:val="20"/>
          <w:lang w:eastAsia="en-US"/>
        </w:rPr>
        <w:tab/>
        <w:t>deliberazione della Giunta comunale n. 6 del 30.01.2014</w:t>
      </w:r>
    </w:p>
    <w:p w:rsidR="00A67240" w:rsidRPr="009C1EBA" w:rsidRDefault="00A67240" w:rsidP="00A67240">
      <w:pPr>
        <w:tabs>
          <w:tab w:val="left" w:pos="426"/>
        </w:tabs>
        <w:suppressAutoHyphens w:val="0"/>
        <w:ind w:left="1065" w:hanging="720"/>
        <w:rPr>
          <w:rFonts w:ascii="Times New Roman" w:hAnsi="Times New Roman" w:cs="Times New Roman"/>
          <w:sz w:val="20"/>
          <w:szCs w:val="20"/>
          <w:lang w:eastAsia="en-US"/>
        </w:rPr>
      </w:pPr>
    </w:p>
    <w:p w:rsidR="00A67240" w:rsidRPr="009C1EBA" w:rsidRDefault="00A67240" w:rsidP="00A67240">
      <w:pPr>
        <w:widowControl/>
        <w:numPr>
          <w:ilvl w:val="0"/>
          <w:numId w:val="31"/>
        </w:numPr>
        <w:tabs>
          <w:tab w:val="left" w:pos="426"/>
        </w:tabs>
        <w:suppressAutoHyphens w:val="0"/>
        <w:autoSpaceDN/>
        <w:ind w:hanging="720"/>
        <w:textAlignment w:val="auto"/>
        <w:rPr>
          <w:rFonts w:ascii="Times New Roman" w:hAnsi="Times New Roman" w:cs="Times New Roman"/>
          <w:sz w:val="20"/>
          <w:szCs w:val="20"/>
          <w:lang w:eastAsia="en-US"/>
        </w:rPr>
      </w:pPr>
      <w:r w:rsidRPr="009C1EBA">
        <w:rPr>
          <w:rFonts w:ascii="Times New Roman" w:hAnsi="Times New Roman" w:cs="Times New Roman"/>
          <w:sz w:val="20"/>
          <w:szCs w:val="20"/>
          <w:lang w:eastAsia="en-US"/>
        </w:rPr>
        <w:t xml:space="preserve">PIANO TRIENNALE DI PREVENZIONE DELLA CORRUZIONE (2015-2017) </w:t>
      </w:r>
    </w:p>
    <w:p w:rsidR="00A67240" w:rsidRPr="009C1EBA" w:rsidRDefault="00A67240" w:rsidP="00A67240">
      <w:pPr>
        <w:tabs>
          <w:tab w:val="left" w:pos="426"/>
        </w:tabs>
        <w:suppressAutoHyphens w:val="0"/>
        <w:rPr>
          <w:rFonts w:ascii="Times New Roman" w:hAnsi="Times New Roman" w:cs="Times New Roman"/>
          <w:sz w:val="20"/>
          <w:szCs w:val="20"/>
          <w:lang w:eastAsia="en-US"/>
        </w:rPr>
      </w:pPr>
      <w:r w:rsidRPr="009C1EBA">
        <w:rPr>
          <w:rFonts w:ascii="Times New Roman" w:hAnsi="Times New Roman" w:cs="Times New Roman"/>
          <w:sz w:val="20"/>
          <w:szCs w:val="20"/>
          <w:lang w:eastAsia="en-US"/>
        </w:rPr>
        <w:tab/>
        <w:t>deliberazione della Giunta comunale n. 6 del 29.01.2015</w:t>
      </w:r>
    </w:p>
    <w:p w:rsidR="00A67240" w:rsidRPr="009C1EBA" w:rsidRDefault="00A67240" w:rsidP="00A67240">
      <w:pPr>
        <w:tabs>
          <w:tab w:val="left" w:pos="426"/>
        </w:tabs>
        <w:ind w:left="1065" w:hanging="720"/>
        <w:rPr>
          <w:rFonts w:ascii="Times New Roman" w:hAnsi="Times New Roman" w:cs="Times New Roman"/>
          <w:sz w:val="20"/>
          <w:szCs w:val="20"/>
        </w:rPr>
      </w:pPr>
    </w:p>
    <w:p w:rsidR="00A67240" w:rsidRPr="009C1EBA" w:rsidRDefault="00A67240" w:rsidP="00A67240">
      <w:pPr>
        <w:widowControl/>
        <w:numPr>
          <w:ilvl w:val="0"/>
          <w:numId w:val="31"/>
        </w:numPr>
        <w:tabs>
          <w:tab w:val="left" w:pos="426"/>
        </w:tabs>
        <w:autoSpaceDN/>
        <w:ind w:hanging="720"/>
        <w:textAlignment w:val="auto"/>
        <w:rPr>
          <w:rFonts w:ascii="Times New Roman" w:hAnsi="Times New Roman" w:cs="Times New Roman"/>
          <w:sz w:val="20"/>
          <w:szCs w:val="20"/>
        </w:rPr>
      </w:pPr>
      <w:r w:rsidRPr="009C1EBA">
        <w:rPr>
          <w:rFonts w:ascii="Times New Roman" w:hAnsi="Times New Roman" w:cs="Times New Roman"/>
          <w:sz w:val="20"/>
          <w:szCs w:val="20"/>
        </w:rPr>
        <w:t xml:space="preserve">PIANO TRIENNALE DI PREVENZIONE DELLA CORRUZIONE (2016-2018) </w:t>
      </w:r>
    </w:p>
    <w:p w:rsidR="00A67240" w:rsidRPr="009C1EBA" w:rsidRDefault="00A67240" w:rsidP="00A67240">
      <w:pPr>
        <w:tabs>
          <w:tab w:val="left" w:pos="426"/>
        </w:tabs>
        <w:rPr>
          <w:rFonts w:ascii="Times New Roman" w:hAnsi="Times New Roman" w:cs="Times New Roman"/>
          <w:sz w:val="20"/>
          <w:szCs w:val="20"/>
        </w:rPr>
      </w:pPr>
      <w:r w:rsidRPr="009C1EBA">
        <w:rPr>
          <w:rFonts w:ascii="Times New Roman" w:hAnsi="Times New Roman" w:cs="Times New Roman"/>
          <w:sz w:val="20"/>
          <w:szCs w:val="20"/>
        </w:rPr>
        <w:tab/>
        <w:t>Deliberazione della Giunta comunale n. 2 del 28.01.2016</w:t>
      </w:r>
    </w:p>
    <w:p w:rsidR="00A67240" w:rsidRPr="009C1EBA" w:rsidRDefault="00A67240" w:rsidP="00A67240">
      <w:pPr>
        <w:widowControl/>
        <w:tabs>
          <w:tab w:val="left" w:pos="426"/>
        </w:tabs>
        <w:autoSpaceDN/>
        <w:ind w:left="720"/>
        <w:textAlignment w:val="auto"/>
        <w:rPr>
          <w:rFonts w:ascii="Times New Roman" w:hAnsi="Times New Roman" w:cs="Times New Roman"/>
          <w:sz w:val="20"/>
          <w:szCs w:val="20"/>
        </w:rPr>
      </w:pPr>
    </w:p>
    <w:p w:rsidR="00A67240" w:rsidRPr="009C1EBA" w:rsidRDefault="00A67240" w:rsidP="00A67240">
      <w:pPr>
        <w:widowControl/>
        <w:numPr>
          <w:ilvl w:val="0"/>
          <w:numId w:val="31"/>
        </w:numPr>
        <w:tabs>
          <w:tab w:val="left" w:pos="426"/>
        </w:tabs>
        <w:autoSpaceDN/>
        <w:ind w:hanging="720"/>
        <w:textAlignment w:val="auto"/>
        <w:rPr>
          <w:rFonts w:ascii="Times New Roman" w:hAnsi="Times New Roman" w:cs="Times New Roman"/>
          <w:sz w:val="20"/>
          <w:szCs w:val="20"/>
        </w:rPr>
      </w:pPr>
      <w:r w:rsidRPr="009C1EBA">
        <w:rPr>
          <w:rFonts w:ascii="Times New Roman" w:hAnsi="Times New Roman" w:cs="Times New Roman"/>
          <w:sz w:val="20"/>
          <w:szCs w:val="20"/>
        </w:rPr>
        <w:t xml:space="preserve">PIANO TRIENNALE DI PREVENZIONE DELLA CORRUZIONE (2017-2019) </w:t>
      </w:r>
    </w:p>
    <w:p w:rsidR="00A67240" w:rsidRPr="009C1EBA" w:rsidRDefault="00A67240" w:rsidP="00A67240">
      <w:pPr>
        <w:tabs>
          <w:tab w:val="left" w:pos="426"/>
        </w:tabs>
        <w:rPr>
          <w:rFonts w:ascii="Times New Roman" w:hAnsi="Times New Roman" w:cs="Times New Roman"/>
          <w:sz w:val="20"/>
          <w:szCs w:val="20"/>
        </w:rPr>
      </w:pPr>
      <w:r w:rsidRPr="009C1EBA">
        <w:rPr>
          <w:rFonts w:ascii="Times New Roman" w:hAnsi="Times New Roman" w:cs="Times New Roman"/>
          <w:sz w:val="20"/>
          <w:szCs w:val="20"/>
        </w:rPr>
        <w:tab/>
        <w:t>Deliberazione della Giunta comunale n. 7 del 31.01.2017</w:t>
      </w:r>
    </w:p>
    <w:p w:rsidR="00917FEC" w:rsidRPr="009C1EBA" w:rsidRDefault="00A91522">
      <w:pPr>
        <w:pStyle w:val="ContentsHeading"/>
        <w:tabs>
          <w:tab w:val="right" w:leader="dot" w:pos="9972"/>
        </w:tabs>
      </w:pPr>
      <w:r w:rsidRPr="009C1EBA">
        <w:rPr>
          <w:rFonts w:eastAsia="Times New Roman" w:cs="Times New Roman"/>
          <w:b w:val="0"/>
          <w:bCs w:val="0"/>
          <w:sz w:val="22"/>
          <w:szCs w:val="22"/>
        </w:rPr>
        <w:lastRenderedPageBreak/>
        <w:fldChar w:fldCharType="begin"/>
      </w:r>
      <w:r w:rsidRPr="009C1EBA">
        <w:instrText xml:space="preserve"> TOC \o "1-9" \l 1-9 \h </w:instrText>
      </w:r>
      <w:r w:rsidRPr="009C1EBA">
        <w:rPr>
          <w:rFonts w:eastAsia="Times New Roman" w:cs="Times New Roman"/>
          <w:b w:val="0"/>
          <w:bCs w:val="0"/>
          <w:sz w:val="22"/>
          <w:szCs w:val="22"/>
        </w:rPr>
        <w:fldChar w:fldCharType="separate"/>
      </w:r>
      <w:r w:rsidRPr="009C1EBA">
        <w:t>Indice generale</w:t>
      </w:r>
    </w:p>
    <w:p w:rsidR="00917FEC" w:rsidRPr="009C1EBA" w:rsidRDefault="00895721">
      <w:pPr>
        <w:pStyle w:val="Contents1"/>
        <w:tabs>
          <w:tab w:val="right" w:leader="dot" w:pos="9922"/>
        </w:tabs>
      </w:pPr>
      <w:hyperlink w:anchor="__RefHeading___Toc1938_761212699" w:history="1">
        <w:r w:rsidR="00A91522" w:rsidRPr="009C1EBA">
          <w:t>PREMESSA</w:t>
        </w:r>
        <w:r w:rsidR="00A91522" w:rsidRPr="009C1EBA">
          <w:tab/>
          <w:t>4</w:t>
        </w:r>
      </w:hyperlink>
    </w:p>
    <w:p w:rsidR="00917FEC" w:rsidRPr="009C1EBA" w:rsidRDefault="00895721">
      <w:pPr>
        <w:pStyle w:val="Contents1"/>
        <w:tabs>
          <w:tab w:val="right" w:leader="dot" w:pos="9922"/>
        </w:tabs>
      </w:pPr>
      <w:hyperlink w:anchor="__RefHeading___Toc1940_761212699" w:history="1">
        <w:r w:rsidR="00A91522" w:rsidRPr="009C1EBA">
          <w:t>1. IL RESPONSABILE DELLA PREVENZIONE DELLA CORRUZIONE E DELLA TRASPARENZA (RPCT)</w:t>
        </w:r>
        <w:r w:rsidR="00A91522" w:rsidRPr="009C1EBA">
          <w:tab/>
          <w:t>5</w:t>
        </w:r>
      </w:hyperlink>
    </w:p>
    <w:p w:rsidR="00917FEC" w:rsidRPr="009C1EBA" w:rsidRDefault="00895721">
      <w:pPr>
        <w:pStyle w:val="Contents1"/>
        <w:tabs>
          <w:tab w:val="right" w:leader="dot" w:pos="9922"/>
        </w:tabs>
      </w:pPr>
      <w:hyperlink w:anchor="__RefHeading___Toc1942_761212699" w:history="1">
        <w:r w:rsidR="00A91522" w:rsidRPr="009C1EBA">
          <w:t>2. IL CONTESTO ESTERNO ED INTERNO</w:t>
        </w:r>
        <w:r w:rsidR="00A91522" w:rsidRPr="009C1EBA">
          <w:tab/>
          <w:t>6</w:t>
        </w:r>
      </w:hyperlink>
    </w:p>
    <w:p w:rsidR="00917FEC" w:rsidRPr="009C1EBA" w:rsidRDefault="00895721">
      <w:pPr>
        <w:pStyle w:val="Contents2"/>
        <w:tabs>
          <w:tab w:val="right" w:leader="dot" w:pos="10347"/>
        </w:tabs>
      </w:pPr>
      <w:hyperlink w:anchor="__RefHeading___Toc1944_761212699" w:history="1">
        <w:r w:rsidR="00A91522" w:rsidRPr="009C1EBA">
          <w:t>2.1. LA STRUTTURA ORGANIZZATIVA</w:t>
        </w:r>
        <w:r w:rsidR="00A91522" w:rsidRPr="009C1EBA">
          <w:tab/>
          <w:t>9</w:t>
        </w:r>
      </w:hyperlink>
    </w:p>
    <w:p w:rsidR="00917FEC" w:rsidRPr="009C1EBA" w:rsidRDefault="00895721">
      <w:pPr>
        <w:pStyle w:val="Contents1"/>
        <w:tabs>
          <w:tab w:val="right" w:leader="dot" w:pos="9922"/>
        </w:tabs>
      </w:pPr>
      <w:hyperlink w:anchor="__RefHeading___Toc1946_761212699" w:history="1">
        <w:r w:rsidR="00A91522" w:rsidRPr="009C1EBA">
          <w:t>3. IL SUPPORTO DEL CONSORZIO DEI COMUNI TRENTINI</w:t>
        </w:r>
        <w:r w:rsidR="00A91522" w:rsidRPr="009C1EBA">
          <w:tab/>
          <w:t>10</w:t>
        </w:r>
      </w:hyperlink>
    </w:p>
    <w:p w:rsidR="00917FEC" w:rsidRPr="009C1EBA" w:rsidRDefault="00895721">
      <w:pPr>
        <w:pStyle w:val="Contents1"/>
        <w:tabs>
          <w:tab w:val="right" w:leader="dot" w:pos="9922"/>
        </w:tabs>
      </w:pPr>
      <w:hyperlink w:anchor="__RefHeading___Toc1948_761212699" w:history="1">
        <w:r w:rsidR="00A91522" w:rsidRPr="009C1EBA">
          <w:t>4. PRINCIPIO DI DELEGA – OBBLIGO DI COLLABORAZIONE – CORRESPONSABILITÀ</w:t>
        </w:r>
        <w:r w:rsidR="00A91522" w:rsidRPr="009C1EBA">
          <w:tab/>
          <w:t>10</w:t>
        </w:r>
      </w:hyperlink>
    </w:p>
    <w:p w:rsidR="00917FEC" w:rsidRPr="009C1EBA" w:rsidRDefault="00895721">
      <w:pPr>
        <w:pStyle w:val="Contents1"/>
        <w:tabs>
          <w:tab w:val="right" w:leader="dot" w:pos="9922"/>
        </w:tabs>
      </w:pPr>
      <w:hyperlink w:anchor="__RefHeading___Toc1950_761212699" w:history="1">
        <w:r w:rsidR="00A91522" w:rsidRPr="009C1EBA">
          <w:t>5. LA FINALITA’ DEL PIANO</w:t>
        </w:r>
        <w:r w:rsidR="00A91522" w:rsidRPr="009C1EBA">
          <w:tab/>
          <w:t>11</w:t>
        </w:r>
      </w:hyperlink>
    </w:p>
    <w:p w:rsidR="00917FEC" w:rsidRPr="009C1EBA" w:rsidRDefault="00895721">
      <w:pPr>
        <w:pStyle w:val="Contents1"/>
        <w:tabs>
          <w:tab w:val="right" w:leader="dot" w:pos="9922"/>
        </w:tabs>
      </w:pPr>
      <w:hyperlink w:anchor="__RefHeading___Toc1952_761212699" w:history="1">
        <w:r w:rsidR="00A91522" w:rsidRPr="009C1EBA">
          <w:t>6. L’APPROCCIO METODOLOGICO ADOTTATO PER LA COSTRUZIONE DEL PIANO</w:t>
        </w:r>
        <w:r w:rsidR="00A91522" w:rsidRPr="009C1EBA">
          <w:tab/>
          <w:t>11</w:t>
        </w:r>
      </w:hyperlink>
    </w:p>
    <w:p w:rsidR="00917FEC" w:rsidRPr="009C1EBA" w:rsidRDefault="00895721">
      <w:pPr>
        <w:pStyle w:val="Contents1"/>
        <w:tabs>
          <w:tab w:val="right" w:leader="dot" w:pos="9922"/>
        </w:tabs>
      </w:pPr>
      <w:hyperlink w:anchor="__RefHeading___Toc1954_761212699" w:history="1">
        <w:r w:rsidR="00A91522" w:rsidRPr="009C1EBA">
          <w:t>7. IL PERCORSO DI COSTRUZIONE DEL PIANO</w:t>
        </w:r>
        <w:r w:rsidR="00A91522" w:rsidRPr="009C1EBA">
          <w:tab/>
          <w:t>12</w:t>
        </w:r>
      </w:hyperlink>
    </w:p>
    <w:p w:rsidR="00917FEC" w:rsidRPr="009C1EBA" w:rsidRDefault="00895721">
      <w:pPr>
        <w:pStyle w:val="Contents2"/>
        <w:tabs>
          <w:tab w:val="right" w:leader="dot" w:pos="10347"/>
        </w:tabs>
      </w:pPr>
      <w:hyperlink w:anchor="__RefHeading___Toc1956_761212699" w:history="1">
        <w:r w:rsidR="00A91522" w:rsidRPr="009C1EBA">
          <w:t>7.1 GLI ASPETTI PRESI IN CONSIDERAZIONE</w:t>
        </w:r>
        <w:r w:rsidR="00A91522" w:rsidRPr="009C1EBA">
          <w:tab/>
          <w:t>12</w:t>
        </w:r>
      </w:hyperlink>
    </w:p>
    <w:p w:rsidR="00917FEC" w:rsidRPr="009C1EBA" w:rsidRDefault="00895721">
      <w:pPr>
        <w:pStyle w:val="Contents2"/>
        <w:tabs>
          <w:tab w:val="right" w:leader="dot" w:pos="10347"/>
        </w:tabs>
      </w:pPr>
      <w:hyperlink w:anchor="__RefHeading___Toc1958_761212699" w:history="1">
        <w:r w:rsidR="00A91522" w:rsidRPr="009C1EBA">
          <w:t>7.2 SENSIBILIZZAZIONE DEI RESPONSABILI DI SERVIZIO E CONDIVISIONE DELL’APPROCCIO</w:t>
        </w:r>
        <w:r w:rsidR="00A91522" w:rsidRPr="009C1EBA">
          <w:tab/>
          <w:t>13</w:t>
        </w:r>
      </w:hyperlink>
    </w:p>
    <w:p w:rsidR="00917FEC" w:rsidRPr="009C1EBA" w:rsidRDefault="00895721">
      <w:pPr>
        <w:pStyle w:val="Contents2"/>
        <w:tabs>
          <w:tab w:val="right" w:leader="dot" w:pos="10347"/>
        </w:tabs>
      </w:pPr>
      <w:hyperlink w:anchor="__RefHeading___Toc1960_761212699" w:history="1">
        <w:r w:rsidR="00A91522" w:rsidRPr="009C1EBA">
          <w:t>7.3 INDIVIDUAZIONE DEI PROCESSI A RISCHIO E DEI POSSIBILI RISCHI</w:t>
        </w:r>
        <w:r w:rsidR="00A91522" w:rsidRPr="009C1EBA">
          <w:tab/>
          <w:t>13</w:t>
        </w:r>
      </w:hyperlink>
    </w:p>
    <w:p w:rsidR="00917FEC" w:rsidRPr="009C1EBA" w:rsidRDefault="00895721">
      <w:pPr>
        <w:pStyle w:val="Contents2"/>
        <w:tabs>
          <w:tab w:val="right" w:leader="dot" w:pos="10347"/>
        </w:tabs>
      </w:pPr>
      <w:hyperlink w:anchor="__RefHeading___Toc1962_761212699" w:history="1">
        <w:r w:rsidR="00A91522" w:rsidRPr="009C1EBA">
          <w:t>7.4 AZIONI PREVENTIVE E CONTROLLI</w:t>
        </w:r>
        <w:r w:rsidR="00A91522" w:rsidRPr="009C1EBA">
          <w:tab/>
          <w:t>14</w:t>
        </w:r>
      </w:hyperlink>
    </w:p>
    <w:p w:rsidR="00917FEC" w:rsidRPr="009C1EBA" w:rsidRDefault="00895721">
      <w:pPr>
        <w:pStyle w:val="Contents2"/>
        <w:tabs>
          <w:tab w:val="right" w:leader="dot" w:pos="10347"/>
        </w:tabs>
      </w:pPr>
      <w:hyperlink w:anchor="__RefHeading___Toc1964_761212699" w:history="1">
        <w:r w:rsidR="00A91522" w:rsidRPr="009C1EBA">
          <w:t>7.5 STESURA E APPROVAZIONE DEL PTPTC</w:t>
        </w:r>
        <w:r w:rsidR="00A91522" w:rsidRPr="009C1EBA">
          <w:tab/>
          <w:t>15</w:t>
        </w:r>
      </w:hyperlink>
    </w:p>
    <w:p w:rsidR="00917FEC" w:rsidRPr="009C1EBA" w:rsidRDefault="00895721">
      <w:pPr>
        <w:pStyle w:val="Contents2"/>
        <w:tabs>
          <w:tab w:val="right" w:leader="dot" w:pos="10347"/>
        </w:tabs>
      </w:pPr>
      <w:hyperlink w:anchor="__RefHeading___Toc1966_761212699" w:history="1">
        <w:r w:rsidR="00A91522" w:rsidRPr="009C1EBA">
          <w:t>7.6 FORMAZIONE</w:t>
        </w:r>
        <w:r w:rsidR="00A91522" w:rsidRPr="009C1EBA">
          <w:tab/>
          <w:t>15</w:t>
        </w:r>
      </w:hyperlink>
    </w:p>
    <w:p w:rsidR="00917FEC" w:rsidRPr="009C1EBA" w:rsidRDefault="00895721">
      <w:pPr>
        <w:pStyle w:val="Contents1"/>
        <w:tabs>
          <w:tab w:val="right" w:leader="dot" w:pos="9922"/>
        </w:tabs>
      </w:pPr>
      <w:hyperlink w:anchor="__RefHeading___Toc1968_761212699" w:history="1">
        <w:r w:rsidR="00A91522" w:rsidRPr="009C1EBA">
          <w:t>8. LE MISURE ORGANIZZATIVE DI CARATTERE GENERALE</w:t>
        </w:r>
        <w:r w:rsidR="00A91522" w:rsidRPr="009C1EBA">
          <w:tab/>
          <w:t>15</w:t>
        </w:r>
      </w:hyperlink>
    </w:p>
    <w:p w:rsidR="00917FEC" w:rsidRPr="009C1EBA" w:rsidRDefault="00895721">
      <w:pPr>
        <w:pStyle w:val="Contents2"/>
        <w:tabs>
          <w:tab w:val="right" w:leader="dot" w:pos="10347"/>
        </w:tabs>
      </w:pPr>
      <w:hyperlink w:anchor="__RefHeading___Toc1970_761212699" w:history="1">
        <w:r w:rsidR="00A91522" w:rsidRPr="009C1EBA">
          <w:t>8.1. ROTAZIONE DEL PERSONALE</w:t>
        </w:r>
        <w:r w:rsidR="00A91522" w:rsidRPr="009C1EBA">
          <w:tab/>
          <w:t>15</w:t>
        </w:r>
      </w:hyperlink>
    </w:p>
    <w:p w:rsidR="00917FEC" w:rsidRPr="009C1EBA" w:rsidRDefault="00895721">
      <w:pPr>
        <w:pStyle w:val="Contents2"/>
        <w:tabs>
          <w:tab w:val="right" w:leader="dot" w:pos="10347"/>
        </w:tabs>
      </w:pPr>
      <w:hyperlink w:anchor="__RefHeading___Toc1972_761212699" w:history="1">
        <w:r w:rsidR="00A91522" w:rsidRPr="009C1EBA">
          <w:t>8.2 TRASPARENZA</w:t>
        </w:r>
        <w:r w:rsidR="00A91522" w:rsidRPr="009C1EBA">
          <w:tab/>
          <w:t>16</w:t>
        </w:r>
      </w:hyperlink>
    </w:p>
    <w:p w:rsidR="00917FEC" w:rsidRPr="009C1EBA" w:rsidRDefault="00895721">
      <w:pPr>
        <w:pStyle w:val="Contents2"/>
        <w:tabs>
          <w:tab w:val="right" w:leader="dot" w:pos="10347"/>
        </w:tabs>
      </w:pPr>
      <w:hyperlink w:anchor="__RefHeading___Toc1974_761212699" w:history="1">
        <w:r w:rsidR="00A91522" w:rsidRPr="009C1EBA">
          <w:t>8.3. TUTELA DEL DIPENDENTE CHE SEGNALA ILLECITI (WHISTLEBLOWER)</w:t>
        </w:r>
        <w:r w:rsidR="00A91522" w:rsidRPr="009C1EBA">
          <w:tab/>
          <w:t>16</w:t>
        </w:r>
      </w:hyperlink>
    </w:p>
    <w:p w:rsidR="00917FEC" w:rsidRPr="009C1EBA" w:rsidRDefault="00895721">
      <w:pPr>
        <w:pStyle w:val="Contents2"/>
        <w:tabs>
          <w:tab w:val="right" w:leader="dot" w:pos="10347"/>
        </w:tabs>
      </w:pPr>
      <w:hyperlink w:anchor="__RefHeading___Toc1976_761212699" w:history="1">
        <w:r w:rsidR="00A91522" w:rsidRPr="009C1EBA">
          <w:t>8.4 IL CODICE DI COMPORTAMENTO</w:t>
        </w:r>
        <w:r w:rsidR="00A91522" w:rsidRPr="009C1EBA">
          <w:tab/>
          <w:t>17</w:t>
        </w:r>
      </w:hyperlink>
    </w:p>
    <w:p w:rsidR="00917FEC" w:rsidRPr="009C1EBA" w:rsidRDefault="00895721">
      <w:pPr>
        <w:pStyle w:val="Contents2"/>
        <w:tabs>
          <w:tab w:val="right" w:leader="dot" w:pos="10347"/>
        </w:tabs>
      </w:pPr>
      <w:hyperlink w:anchor="__RefHeading___Toc1978_761212699" w:history="1">
        <w:r w:rsidR="00A91522" w:rsidRPr="009C1EBA">
          <w:t>8.5. INCARICHI EXTRAISTITUZIONALI</w:t>
        </w:r>
        <w:r w:rsidR="00A91522" w:rsidRPr="009C1EBA">
          <w:tab/>
          <w:t>17</w:t>
        </w:r>
      </w:hyperlink>
    </w:p>
    <w:p w:rsidR="00917FEC" w:rsidRPr="009C1EBA" w:rsidRDefault="00895721">
      <w:pPr>
        <w:pStyle w:val="Contents2"/>
        <w:tabs>
          <w:tab w:val="right" w:leader="dot" w:pos="10347"/>
        </w:tabs>
      </w:pPr>
      <w:hyperlink w:anchor="__RefHeading___Toc1980_761212699" w:history="1">
        <w:r w:rsidR="00A91522" w:rsidRPr="009C1EBA">
          <w:t xml:space="preserve">8.6 COINVOLGIMENTO DEGLI STAKEHOLDER: </w:t>
        </w:r>
      </w:hyperlink>
      <w:hyperlink w:anchor="__RefHeading___Toc1980_761212699" w:history="1">
        <w:r w:rsidR="00A91522" w:rsidRPr="009C1EBA">
          <w:t>ASCOLTO E DIALOGO CON IL TERRITORIO</w:t>
        </w:r>
      </w:hyperlink>
      <w:hyperlink w:anchor="__RefHeading___Toc1980_761212699" w:history="1">
        <w:r w:rsidR="00A91522" w:rsidRPr="009C1EBA">
          <w:tab/>
          <w:t>17</w:t>
        </w:r>
      </w:hyperlink>
    </w:p>
    <w:p w:rsidR="00917FEC" w:rsidRPr="009C1EBA" w:rsidRDefault="00895721">
      <w:pPr>
        <w:pStyle w:val="Contents2"/>
        <w:tabs>
          <w:tab w:val="right" w:leader="dot" w:pos="10347"/>
        </w:tabs>
      </w:pPr>
      <w:hyperlink w:anchor="__RefHeading___Toc1982_761212699" w:history="1">
        <w:r w:rsidR="00A91522" w:rsidRPr="009C1EBA">
          <w:t>8.7 RISPETTO DELLA NORMATIVA SULLA SCELTA DEL CONTRAENTE</w:t>
        </w:r>
        <w:r w:rsidR="00A91522" w:rsidRPr="009C1EBA">
          <w:tab/>
          <w:t>18</w:t>
        </w:r>
      </w:hyperlink>
    </w:p>
    <w:p w:rsidR="00917FEC" w:rsidRPr="009C1EBA" w:rsidRDefault="00895721">
      <w:pPr>
        <w:pStyle w:val="Contents2"/>
        <w:tabs>
          <w:tab w:val="right" w:leader="dot" w:pos="10347"/>
        </w:tabs>
      </w:pPr>
      <w:hyperlink w:anchor="__RefHeading___Toc1984_761212699" w:history="1">
        <w:r w:rsidR="00A91522" w:rsidRPr="009C1EBA">
          <w:t>8.8 RISPETTO DELLA NORMATIVA SULLA PIANIFICAZIONE TERRITORIALE</w:t>
        </w:r>
        <w:r w:rsidR="00A91522" w:rsidRPr="009C1EBA">
          <w:tab/>
          <w:t>18</w:t>
        </w:r>
      </w:hyperlink>
    </w:p>
    <w:p w:rsidR="00917FEC" w:rsidRPr="009C1EBA" w:rsidRDefault="00895721">
      <w:pPr>
        <w:pStyle w:val="Contents2"/>
        <w:tabs>
          <w:tab w:val="right" w:leader="dot" w:pos="10347"/>
        </w:tabs>
      </w:pPr>
      <w:hyperlink w:anchor="__RefHeading___Toc9049_3259834511" w:history="1">
        <w:r w:rsidR="00A91522" w:rsidRPr="009C1EBA">
          <w:t>8.9 OBBLIGO DI ASTENSIONE IN CASO DI CONFLITTI DI INTERESSI</w:t>
        </w:r>
        <w:r w:rsidR="00A91522" w:rsidRPr="009C1EBA">
          <w:tab/>
          <w:t>18</w:t>
        </w:r>
      </w:hyperlink>
    </w:p>
    <w:p w:rsidR="00917FEC" w:rsidRPr="009C1EBA" w:rsidRDefault="00895721">
      <w:pPr>
        <w:pStyle w:val="Contents2"/>
        <w:tabs>
          <w:tab w:val="right" w:leader="dot" w:pos="10347"/>
        </w:tabs>
      </w:pPr>
      <w:hyperlink w:anchor="__RefHeading___Toc9051_3259834511" w:history="1">
        <w:r w:rsidR="00A91522" w:rsidRPr="009C1EBA">
          <w:t>8.10 INCONFERIBILITA’ ED INCOMPATIBILITA’</w:t>
        </w:r>
        <w:r w:rsidR="00A91522" w:rsidRPr="009C1EBA">
          <w:tab/>
          <w:t>18</w:t>
        </w:r>
      </w:hyperlink>
    </w:p>
    <w:p w:rsidR="00917FEC" w:rsidRPr="009C1EBA" w:rsidRDefault="00895721">
      <w:pPr>
        <w:pStyle w:val="Contents1"/>
        <w:tabs>
          <w:tab w:val="right" w:leader="dot" w:pos="9922"/>
        </w:tabs>
      </w:pPr>
      <w:hyperlink w:anchor="__RefHeading___Toc1986_761212699" w:history="1">
        <w:r w:rsidR="00A91522" w:rsidRPr="009C1EBA">
          <w:t>9. IL SISTEMA DEI CONTROLLI E DELLE AZIONI PREVENTIVE PREVISTE</w:t>
        </w:r>
        <w:r w:rsidR="00A91522" w:rsidRPr="009C1EBA">
          <w:tab/>
          <w:t>19</w:t>
        </w:r>
      </w:hyperlink>
    </w:p>
    <w:p w:rsidR="00917FEC" w:rsidRPr="009C1EBA" w:rsidRDefault="00895721">
      <w:pPr>
        <w:pStyle w:val="Contents1"/>
        <w:tabs>
          <w:tab w:val="right" w:leader="dot" w:pos="9922"/>
        </w:tabs>
      </w:pPr>
      <w:hyperlink w:anchor="__RefHeading___Toc1988_761212699" w:history="1">
        <w:r w:rsidR="00A91522" w:rsidRPr="009C1EBA">
          <w:t>10. AGGIORNAMENTO DEL PIANO DI PREVENZIONE DELLA CORRUZIONE E DELLA TRASPARENZA</w:t>
        </w:r>
        <w:r w:rsidR="00A91522" w:rsidRPr="009C1EBA">
          <w:tab/>
          <w:t>19</w:t>
        </w:r>
      </w:hyperlink>
    </w:p>
    <w:p w:rsidR="00917FEC" w:rsidRPr="009C1EBA" w:rsidRDefault="00895721">
      <w:pPr>
        <w:pStyle w:val="Contents2"/>
        <w:tabs>
          <w:tab w:val="right" w:leader="dot" w:pos="10347"/>
        </w:tabs>
      </w:pPr>
      <w:hyperlink w:anchor="__RefHeading___Toc1990_761212699" w:history="1">
        <w:r w:rsidR="00A91522" w:rsidRPr="009C1EBA">
          <w:t>10.1 MODALITA’ DI AGGIORNAMENTO</w:t>
        </w:r>
        <w:r w:rsidR="00A91522" w:rsidRPr="009C1EBA">
          <w:tab/>
          <w:t>19</w:t>
        </w:r>
      </w:hyperlink>
    </w:p>
    <w:p w:rsidR="00917FEC" w:rsidRPr="009C1EBA" w:rsidRDefault="00895721">
      <w:pPr>
        <w:pStyle w:val="Contents2"/>
        <w:tabs>
          <w:tab w:val="right" w:leader="dot" w:pos="10347"/>
        </w:tabs>
      </w:pPr>
      <w:hyperlink w:anchor="__RefHeading___Toc1992_761212699" w:history="1">
        <w:r w:rsidR="00A91522" w:rsidRPr="009C1EBA">
          <w:t>10.2 CADENZA TEMPORALE DI AGGIORNAMENTO</w:t>
        </w:r>
        <w:r w:rsidR="00A91522" w:rsidRPr="009C1EBA">
          <w:tab/>
          <w:t>19</w:t>
        </w:r>
      </w:hyperlink>
    </w:p>
    <w:p w:rsidR="00917FEC" w:rsidRPr="009C1EBA" w:rsidRDefault="00895721">
      <w:pPr>
        <w:pStyle w:val="Contents1"/>
        <w:tabs>
          <w:tab w:val="right" w:leader="dot" w:pos="9922"/>
        </w:tabs>
      </w:pPr>
      <w:hyperlink w:anchor="__RefHeading___Toc1994_761212699" w:history="1">
        <w:r w:rsidR="00A91522" w:rsidRPr="009C1EBA">
          <w:t>11. MAPPA/REGISTRO DEI RISCHI CON LE AZIONI PREVENTIVE E CORRETTIVE, TEMPI E RESPONSABILITÀ</w:t>
        </w:r>
        <w:r w:rsidR="00A91522" w:rsidRPr="009C1EBA">
          <w:tab/>
          <w:t>19</w:t>
        </w:r>
      </w:hyperlink>
    </w:p>
    <w:p w:rsidR="00917FEC" w:rsidRPr="009C1EBA" w:rsidRDefault="00895721">
      <w:pPr>
        <w:pStyle w:val="Contents1"/>
        <w:tabs>
          <w:tab w:val="right" w:leader="dot" w:pos="9922"/>
        </w:tabs>
      </w:pPr>
      <w:hyperlink w:anchor="__RefHeading___Toc1996_761212699" w:history="1">
        <w:r w:rsidR="00A91522" w:rsidRPr="009C1EBA">
          <w:t>APPENDICE NORMATIVA</w:t>
        </w:r>
        <w:r w:rsidR="00A91522" w:rsidRPr="009C1EBA">
          <w:tab/>
          <w:t>20</w:t>
        </w:r>
      </w:hyperlink>
    </w:p>
    <w:p w:rsidR="00917FEC" w:rsidRPr="009C1EBA" w:rsidRDefault="00A91522">
      <w:pPr>
        <w:pStyle w:val="Standard"/>
        <w:spacing w:before="80" w:after="120" w:line="240" w:lineRule="auto"/>
      </w:pPr>
      <w:r w:rsidRPr="009C1EBA">
        <w:rPr>
          <w:rFonts w:ascii="Arial" w:eastAsia="Arial" w:hAnsi="Arial" w:cs="Arial"/>
          <w:b/>
          <w:caps/>
        </w:rPr>
        <w:fldChar w:fldCharType="end"/>
      </w:r>
    </w:p>
    <w:p w:rsidR="00917FEC" w:rsidRPr="009C1EBA" w:rsidRDefault="00A91522">
      <w:pPr>
        <w:pStyle w:val="Contents2"/>
        <w:tabs>
          <w:tab w:val="left" w:pos="6740"/>
        </w:tabs>
        <w:spacing w:before="80" w:after="120" w:line="240" w:lineRule="auto"/>
        <w:ind w:left="567" w:hanging="283"/>
        <w:rPr>
          <w:b/>
          <w:sz w:val="21"/>
          <w:szCs w:val="21"/>
        </w:rPr>
      </w:pPr>
      <w:r w:rsidRPr="009C1EBA">
        <w:rPr>
          <w:b/>
          <w:sz w:val="21"/>
          <w:szCs w:val="21"/>
        </w:rPr>
        <w:tab/>
      </w:r>
    </w:p>
    <w:p w:rsidR="00917FEC" w:rsidRPr="009C1EBA" w:rsidRDefault="00A91522">
      <w:pPr>
        <w:pStyle w:val="Titolo1"/>
        <w:pageBreakBefore/>
      </w:pPr>
      <w:bookmarkStart w:id="0" w:name="__RefHeading___Toc1938_761212699"/>
      <w:r w:rsidRPr="009C1EBA">
        <w:rPr>
          <w:sz w:val="24"/>
          <w:szCs w:val="24"/>
        </w:rPr>
        <w:lastRenderedPageBreak/>
        <w:t>PREMESSA</w:t>
      </w:r>
      <w:bookmarkEnd w:id="0"/>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Le norme anticorruzione nella Pubblica amministrazione (P.A.) prevedono misure di prevenzione che ricadono in modo notevole e incisivo sull’organizzazione e sui rapporti di lavoro di tutte le amministrazioni pubbliche e degli enti territoriali.</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I temi </w:t>
      </w:r>
      <w:r w:rsidRPr="009C1EBA">
        <w:rPr>
          <w:rFonts w:ascii="Arial" w:eastAsia="Calibri" w:hAnsi="Arial" w:cs="Arial"/>
          <w:bCs/>
          <w:sz w:val="21"/>
          <w:szCs w:val="21"/>
          <w:lang w:eastAsia="en-US"/>
        </w:rPr>
        <w:t>della</w:t>
      </w:r>
      <w:r w:rsidRPr="009C1EBA">
        <w:rPr>
          <w:rFonts w:ascii="Arial" w:eastAsia="Calibri" w:hAnsi="Arial" w:cs="Arial"/>
          <w:b/>
          <w:bCs/>
          <w:sz w:val="21"/>
          <w:szCs w:val="21"/>
          <w:lang w:eastAsia="en-US"/>
        </w:rPr>
        <w:t xml:space="preserve"> trasparenza </w:t>
      </w:r>
      <w:r w:rsidRPr="009C1EBA">
        <w:rPr>
          <w:rFonts w:ascii="Arial" w:eastAsia="Calibri" w:hAnsi="Arial" w:cs="Arial"/>
          <w:bCs/>
          <w:sz w:val="21"/>
          <w:szCs w:val="21"/>
          <w:lang w:eastAsia="en-US"/>
        </w:rPr>
        <w:t>e</w:t>
      </w:r>
      <w:r w:rsidRPr="009C1EBA">
        <w:rPr>
          <w:rFonts w:ascii="Arial" w:eastAsia="Calibri" w:hAnsi="Arial" w:cs="Arial"/>
          <w:b/>
          <w:bCs/>
          <w:sz w:val="21"/>
          <w:szCs w:val="21"/>
          <w:lang w:eastAsia="en-US"/>
        </w:rPr>
        <w:t xml:space="preserve"> </w:t>
      </w:r>
      <w:r w:rsidRPr="009C1EBA">
        <w:rPr>
          <w:rFonts w:ascii="Arial" w:eastAsia="Calibri" w:hAnsi="Arial" w:cs="Arial"/>
          <w:sz w:val="21"/>
          <w:szCs w:val="21"/>
          <w:lang w:eastAsia="en-US"/>
        </w:rPr>
        <w:t xml:space="preserve">della </w:t>
      </w:r>
      <w:r w:rsidRPr="009C1EBA">
        <w:rPr>
          <w:rFonts w:ascii="Arial" w:eastAsia="Calibri" w:hAnsi="Arial" w:cs="Arial"/>
          <w:b/>
          <w:bCs/>
          <w:sz w:val="21"/>
          <w:szCs w:val="21"/>
          <w:lang w:eastAsia="en-US"/>
        </w:rPr>
        <w:t>integrità dei comportamenti</w:t>
      </w:r>
      <w:r w:rsidRPr="009C1EBA">
        <w:rPr>
          <w:rFonts w:ascii="Arial" w:eastAsia="Calibri" w:hAnsi="Arial" w:cs="Arial"/>
          <w:sz w:val="21"/>
          <w:szCs w:val="21"/>
          <w:lang w:eastAsia="en-US"/>
        </w:rPr>
        <w:t xml:space="preserve"> nella P.A. paiono sempre più urgenti, anche in relazione alle richieste della comunità internazionale (OCSE, Consiglio d’Europa, ecc.).</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Nel 2012 la Legge n. </w:t>
      </w:r>
      <w:r w:rsidRPr="009C1EBA">
        <w:rPr>
          <w:rFonts w:ascii="Arial" w:eastAsia="Calibri" w:hAnsi="Arial" w:cs="Arial"/>
          <w:b/>
          <w:sz w:val="21"/>
          <w:szCs w:val="21"/>
          <w:lang w:eastAsia="en-US"/>
        </w:rPr>
        <w:t>190</w:t>
      </w:r>
      <w:r w:rsidRPr="009C1EBA">
        <w:rPr>
          <w:rFonts w:ascii="Arial" w:eastAsia="Calibri" w:hAnsi="Arial" w:cs="Arial"/>
          <w:sz w:val="21"/>
          <w:szCs w:val="21"/>
          <w:lang w:eastAsia="en-US"/>
        </w:rPr>
        <w:t xml:space="preserve"> </w:t>
      </w:r>
      <w:r w:rsidRPr="009C1EBA">
        <w:rPr>
          <w:rFonts w:ascii="Arial" w:eastAsia="Calibri" w:hAnsi="Arial" w:cs="Arial"/>
          <w:i/>
          <w:sz w:val="21"/>
          <w:szCs w:val="21"/>
          <w:lang w:eastAsia="en-US"/>
        </w:rPr>
        <w:t>(Disposizioni per la prevenzione e la repressione della corruzione e dell'illegalità nella Pubblica Amministrazione)</w:t>
      </w:r>
      <w:r w:rsidRPr="009C1EBA">
        <w:rPr>
          <w:rFonts w:ascii="Arial" w:eastAsia="Calibri" w:hAnsi="Arial" w:cs="Arial"/>
          <w:b/>
          <w:bCs/>
          <w:sz w:val="21"/>
          <w:szCs w:val="21"/>
          <w:lang w:eastAsia="en-US"/>
        </w:rPr>
        <w:t xml:space="preserve"> </w:t>
      </w:r>
      <w:r w:rsidRPr="009C1EBA">
        <w:rPr>
          <w:rFonts w:ascii="Arial" w:eastAsia="Calibri" w:hAnsi="Arial" w:cs="Arial"/>
          <w:sz w:val="21"/>
          <w:szCs w:val="21"/>
          <w:lang w:eastAsia="en-US"/>
        </w:rPr>
        <w:t xml:space="preserve">ha imposto che anche i Comuni si dotino di </w:t>
      </w:r>
      <w:r w:rsidRPr="009C1EBA">
        <w:rPr>
          <w:rFonts w:ascii="Arial" w:eastAsia="Calibri" w:hAnsi="Arial" w:cs="Arial"/>
          <w:b/>
          <w:sz w:val="21"/>
          <w:szCs w:val="21"/>
          <w:lang w:eastAsia="en-US"/>
        </w:rPr>
        <w:t>Piani di prevenzione della corruzione</w:t>
      </w:r>
      <w:r w:rsidRPr="009C1EBA">
        <w:rPr>
          <w:rFonts w:ascii="Arial" w:eastAsia="Calibri" w:hAnsi="Arial" w:cs="Arial"/>
          <w:sz w:val="21"/>
          <w:szCs w:val="21"/>
          <w:lang w:eastAsia="en-US"/>
        </w:rPr>
        <w:t xml:space="preserve">, strumenti atti a dimostrare come l’ente si sia organizzato per prevenire eventuali comportamenti non corretti da parte dei dipendenti.  </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Tale intervento legislativo mette a frutto il lavoro di analisi della Commissione di Studio su trasparenza e corruzione istituita dal Ministro per la Pubblica Amministrazione e la Semplificazione, e costituisce segnale forte di attenzione del Legislatore ai temi dell’integrità e della trasparenza dell’azione amministrativa a tutti i livelli, come presupposto per un corretto utilizzo delle pubbliche risorse.</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Con riferimento alla specificità dell’Ordinamento dei comuni nella Regione Autonoma Trentino Alto Adige, la Legge n. 190/2012 prevede, all’art. 1 comma 60, che entro centoventi giorni dalla data di entrata in vigore della stessa, siano raggiunte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In particolare con riguardo:</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a) alla definizione, da parte di ciascuna amministrazione, del </w:t>
      </w:r>
      <w:r w:rsidRPr="009C1EBA">
        <w:rPr>
          <w:rFonts w:ascii="Arial" w:eastAsia="Calibri" w:hAnsi="Arial" w:cs="Arial"/>
          <w:sz w:val="21"/>
          <w:szCs w:val="21"/>
          <w:u w:val="single"/>
          <w:lang w:eastAsia="en-US"/>
        </w:rPr>
        <w:t>piano triennale di prevenzione</w:t>
      </w:r>
      <w:r w:rsidRPr="009C1EBA">
        <w:rPr>
          <w:rFonts w:ascii="Arial" w:eastAsia="Calibri" w:hAnsi="Arial" w:cs="Arial"/>
          <w:sz w:val="21"/>
          <w:szCs w:val="21"/>
          <w:lang w:eastAsia="en-US"/>
        </w:rPr>
        <w:t xml:space="preserve"> della corruzione, a partire da quello relativo agli anni 2014-2016;</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b) all'adozione, da parte di ciascuna amministrazione, di </w:t>
      </w:r>
      <w:r w:rsidRPr="009C1EBA">
        <w:rPr>
          <w:rFonts w:ascii="Arial" w:eastAsia="Calibri" w:hAnsi="Arial" w:cs="Arial"/>
          <w:sz w:val="21"/>
          <w:szCs w:val="21"/>
          <w:u w:val="single"/>
          <w:lang w:eastAsia="en-US"/>
        </w:rPr>
        <w:t>norme regolamentari</w:t>
      </w:r>
      <w:r w:rsidRPr="009C1EBA">
        <w:rPr>
          <w:rFonts w:ascii="Arial" w:eastAsia="Calibri" w:hAnsi="Arial" w:cs="Arial"/>
          <w:sz w:val="21"/>
          <w:szCs w:val="21"/>
          <w:lang w:eastAsia="en-US"/>
        </w:rPr>
        <w:t xml:space="preserve"> relative all'individuazione degli incarichi vietati ai dipendenti pubblici;</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c) all'adozione, da parte di ciascuna amministrazione, del </w:t>
      </w:r>
      <w:r w:rsidRPr="009C1EBA">
        <w:rPr>
          <w:rFonts w:ascii="Arial" w:eastAsia="Calibri" w:hAnsi="Arial" w:cs="Arial"/>
          <w:sz w:val="21"/>
          <w:szCs w:val="21"/>
          <w:u w:val="single"/>
          <w:lang w:eastAsia="en-US"/>
        </w:rPr>
        <w:t>codice di comportamento</w:t>
      </w:r>
      <w:r w:rsidRPr="009C1EBA">
        <w:rPr>
          <w:rFonts w:ascii="Arial" w:eastAsia="Calibri" w:hAnsi="Arial" w:cs="Arial"/>
          <w:sz w:val="21"/>
          <w:szCs w:val="21"/>
          <w:lang w:eastAsia="en-US"/>
        </w:rPr>
        <w:t xml:space="preserve"> in linea con i principi sanciti recentemente dal DPR n° 62/2013.</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 xml:space="preserve">Al comma 61 dell’art. 1, la Legge n° 190/2012 prevede inoltre che, attraverso intese in sede di Conferenza unificata, siano </w:t>
      </w:r>
      <w:r w:rsidRPr="009C1EBA">
        <w:rPr>
          <w:rFonts w:ascii="Arial" w:eastAsia="Calibri" w:hAnsi="Arial" w:cs="Arial"/>
          <w:sz w:val="21"/>
          <w:szCs w:val="21"/>
          <w:u w:val="single"/>
          <w:lang w:eastAsia="en-US"/>
        </w:rPr>
        <w:t>definiti gli adempimenti</w:t>
      </w:r>
      <w:r w:rsidRPr="009C1EBA">
        <w:rPr>
          <w:rFonts w:ascii="Arial" w:eastAsia="Calibri" w:hAnsi="Arial" w:cs="Arial"/>
          <w:sz w:val="21"/>
          <w:szCs w:val="21"/>
          <w:lang w:eastAsia="en-US"/>
        </w:rPr>
        <w:t>, attuativi delle disposizioni dei successivi decreti emanati sulla base della stessa, da parte della Regione TAA e delle province autonome di Trento e di Bolzano e degli enti locali, nonché degli enti pubblici e dei soggetti di diritto privato sottoposti al loro controllo.</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L’intesa della Conferenza Unificata Stato regioni del 24/07/2013 ha previsto al 31 gennaio 2014 il termine ultimo entro il quale le Amministrazioni avrebbero dovuto adottare il Piano Anticorruzione.</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A chiusura dei lavori del tavolo tecnico, avviato ad ottobre 2013, è stato formalmente approvato il documento contenente "</w:t>
      </w:r>
      <w:r w:rsidRPr="009C1EBA">
        <w:rPr>
          <w:rFonts w:ascii="Arial" w:eastAsia="Calibri" w:hAnsi="Arial" w:cs="Arial"/>
          <w:i/>
          <w:sz w:val="21"/>
          <w:szCs w:val="21"/>
          <w:lang w:eastAsia="en-US"/>
        </w:rPr>
        <w:t>Criteri generali in materia di incarichi vietati ai pubblici dipendenti</w:t>
      </w:r>
      <w:r w:rsidRPr="009C1EBA">
        <w:rPr>
          <w:rFonts w:ascii="Arial" w:eastAsia="Calibri" w:hAnsi="Arial" w:cs="Arial"/>
          <w:sz w:val="21"/>
          <w:szCs w:val="21"/>
          <w:lang w:eastAsia="en-US"/>
        </w:rPr>
        <w:t>". Obiettivo del documento è quello di supportare le amministrazioni nell'applicazione della normativa in materia di svolgimento di incarichi da parte dei dipendenti e di orientare le scelte in sede di elaborazione dei regolamenti e degli atti di indirizzo.</w:t>
      </w:r>
    </w:p>
    <w:p w:rsidR="00917FEC" w:rsidRPr="009C1EBA" w:rsidRDefault="00A91522">
      <w:pPr>
        <w:pStyle w:val="Standard"/>
        <w:spacing w:before="100" w:after="0" w:line="240" w:lineRule="auto"/>
        <w:jc w:val="both"/>
      </w:pPr>
      <w:r w:rsidRPr="009C1EBA">
        <w:rPr>
          <w:rFonts w:ascii="Arial" w:eastAsia="Calibri" w:hAnsi="Arial" w:cs="Arial"/>
          <w:sz w:val="21"/>
          <w:szCs w:val="21"/>
          <w:lang w:eastAsia="en-US"/>
        </w:rPr>
        <w:t>Sul punto si è specificamente espressa la Regione TAA con circolare n.3/EL del 14 agosto 2014, recante prescrizioni circa l’adeguamento del regolamento organico dei Comuni ai criteri generali in</w:t>
      </w:r>
      <w:r w:rsidRPr="009C1EBA">
        <w:rPr>
          <w:rFonts w:ascii="Arial" w:hAnsi="Arial" w:cs="Arial"/>
          <w:sz w:val="21"/>
          <w:szCs w:val="21"/>
        </w:rPr>
        <w:t xml:space="preserve"> materia di incarichi vietati ai pubblici dipendenti, tenendo peraltro in debito conto quanto (già) stabilito dalle leggi regionali in materia (art. 23 del D.P.Reg. 1 febbraio 2005 n. 2/L e s.m. come modificato dal D.P.Reg. 11 maggio 2010 n. 8/L e dal D.P.Reg. 11 luglio 2012 n. 8/L) che dettano principi e criteri ai quali i regolamenti organici dell’Ente devono attenersi.</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lastRenderedPageBreak/>
        <w:t>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"apicali" sia nelle Amministrazioni dello Stato che in quelle locali (Regioni, Province e Comuni), ma anche negli Enti di diritto privato che sono controllati da una Pubblica Amministrazione.</w:t>
      </w:r>
    </w:p>
    <w:p w:rsidR="00917FEC" w:rsidRPr="009C1EBA" w:rsidRDefault="00A91522">
      <w:pPr>
        <w:pStyle w:val="Standard"/>
        <w:spacing w:before="100" w:after="0" w:line="240" w:lineRule="auto"/>
        <w:jc w:val="both"/>
      </w:pPr>
      <w:r w:rsidRPr="009C1EBA">
        <w:rPr>
          <w:rFonts w:ascii="Arial" w:hAnsi="Arial" w:cs="Arial"/>
          <w:sz w:val="21"/>
          <w:szCs w:val="21"/>
        </w:rPr>
        <w:t>In merito alla tematica della Trasparenza si registra la L.R. n° 10 del 29 ottobre 2014, recante: “</w:t>
      </w:r>
      <w:r w:rsidRPr="009C1EBA">
        <w:rPr>
          <w:rFonts w:ascii="Arial" w:hAnsi="Arial" w:cs="Arial"/>
          <w:i/>
          <w:sz w:val="21"/>
          <w:szCs w:val="21"/>
        </w:rPr>
        <w:t>Disposizioni in materia di pubblicità, trasparenza e diffusione di informazioni da parte della Regione e degli enti a ordinamento regionale</w:t>
      </w:r>
      <w:r w:rsidRPr="009C1EBA">
        <w:rPr>
          <w:rFonts w:ascii="Arial" w:hAnsi="Arial" w:cs="Arial"/>
          <w:sz w:val="21"/>
          <w:szCs w:val="21"/>
        </w:rPr>
        <w:t>”.</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Sulla materia si è nuovamente cimentato il legislatore nazionale con l’adozione del D.Lgs. n° 97/2016, sulla base della delega espressa dalla Legge di riforma della pubblica amministrazione (cd. Legge Madia) n° 124/2015.</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Il 16.12.2016 è entrata in vigore la L.R. n° 16 del 15.12.2016, ("Legge regionale collegata alla legge regionale di stabilità 2017"). Il Capo primo di tale legge riguarda le "Disposizioni di adeguamento alle norme in materia di trasparenza" e dispone alcune modifiche alla L.R.  n° 10/2014, ("Disposizioni in materia di pubblicità, trasparenza e diffusione di informazioni da parte della Regione e degli enti a ordinamento regionale"). Sul punto si è in attesa dell’emissione di una circolar</w:t>
      </w:r>
      <w:r w:rsidR="00724110" w:rsidRPr="009C1EBA">
        <w:rPr>
          <w:rFonts w:ascii="Arial" w:hAnsi="Arial" w:cs="Arial"/>
          <w:sz w:val="21"/>
          <w:szCs w:val="21"/>
        </w:rPr>
        <w:t>e da parte della Regione T.A.A.</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 xml:space="preserve">Il presente Piano triennale di prevenzione della corruzione 2018 – 2020, preso atto del Piano Nazionale Anticorruzione 2013 e degli aggiornamenti intervenuti (determinazione n. 8/2015, deliberazione </w:t>
      </w:r>
      <w:r w:rsidR="00D46219" w:rsidRPr="009C1EBA">
        <w:rPr>
          <w:rFonts w:ascii="Arial" w:hAnsi="Arial" w:cs="Arial"/>
          <w:sz w:val="21"/>
          <w:szCs w:val="21"/>
        </w:rPr>
        <w:t>n.</w:t>
      </w:r>
      <w:r w:rsidRPr="009C1EBA">
        <w:rPr>
          <w:rFonts w:ascii="Arial" w:hAnsi="Arial" w:cs="Arial"/>
          <w:sz w:val="21"/>
          <w:szCs w:val="21"/>
        </w:rPr>
        <w:t xml:space="preserve"> 831/2016 e deliberazione n. 1208/2017), si muove in continuità rispetto ai precedenti Piani adottati dall’Amministrazione e contiene:</w:t>
      </w:r>
    </w:p>
    <w:p w:rsidR="00917FEC" w:rsidRPr="009C1EBA" w:rsidRDefault="00A91522">
      <w:pPr>
        <w:pStyle w:val="Standard"/>
        <w:numPr>
          <w:ilvl w:val="0"/>
          <w:numId w:val="18"/>
        </w:numPr>
        <w:spacing w:before="100" w:after="0" w:line="240" w:lineRule="auto"/>
        <w:ind w:left="284" w:hanging="284"/>
        <w:jc w:val="both"/>
        <w:rPr>
          <w:rFonts w:ascii="Arial" w:hAnsi="Arial" w:cs="Arial"/>
          <w:sz w:val="21"/>
          <w:szCs w:val="21"/>
        </w:rPr>
      </w:pPr>
      <w:r w:rsidRPr="009C1EBA">
        <w:rPr>
          <w:rFonts w:ascii="Arial" w:hAnsi="Arial" w:cs="Arial"/>
          <w:sz w:val="21"/>
          <w:szCs w:val="21"/>
        </w:rPr>
        <w:t>l’analisi del livello di rischio delle attività svolte,</w:t>
      </w:r>
    </w:p>
    <w:p w:rsidR="00917FEC" w:rsidRPr="009C1EBA" w:rsidRDefault="00A91522">
      <w:pPr>
        <w:pStyle w:val="Standard"/>
        <w:numPr>
          <w:ilvl w:val="0"/>
          <w:numId w:val="11"/>
        </w:numPr>
        <w:spacing w:before="100" w:after="0" w:line="240" w:lineRule="auto"/>
        <w:ind w:left="284" w:hanging="284"/>
        <w:jc w:val="both"/>
        <w:rPr>
          <w:rFonts w:ascii="Arial" w:hAnsi="Arial" w:cs="Arial"/>
          <w:sz w:val="21"/>
          <w:szCs w:val="21"/>
        </w:rPr>
      </w:pPr>
      <w:r w:rsidRPr="009C1EBA">
        <w:rPr>
          <w:rFonts w:ascii="Arial" w:hAnsi="Arial" w:cs="Arial"/>
          <w:sz w:val="21"/>
          <w:szCs w:val="21"/>
        </w:rPr>
        <w:t xml:space="preserve">un sistema di misure, procedure e controlli, tesi a prevenire situazioni lesive per la trasparenza e l’integrità delle azioni e dei comportamenti del personale.    </w:t>
      </w:r>
    </w:p>
    <w:p w:rsidR="00917FEC" w:rsidRPr="009C1EBA" w:rsidRDefault="00A91522">
      <w:pPr>
        <w:pStyle w:val="Standard"/>
        <w:spacing w:before="100" w:after="0" w:line="240" w:lineRule="auto"/>
        <w:jc w:val="both"/>
      </w:pPr>
      <w:r w:rsidRPr="009C1EBA">
        <w:rPr>
          <w:rFonts w:ascii="Arial" w:hAnsi="Arial" w:cs="Arial"/>
          <w:sz w:val="21"/>
          <w:szCs w:val="21"/>
        </w:rPr>
        <w:t xml:space="preserve">Il presente Piano si collega altresì con la programmazione strategica e operativa dell'amministrazione, tenuto conto dell’atto di indirizzo espresso dalla Giunta comunale in data </w:t>
      </w:r>
      <w:r w:rsidR="00724110" w:rsidRPr="009C1EBA">
        <w:rPr>
          <w:rFonts w:ascii="Arial" w:hAnsi="Arial" w:cs="Arial"/>
          <w:sz w:val="21"/>
          <w:szCs w:val="21"/>
        </w:rPr>
        <w:t>07.03.201</w:t>
      </w:r>
      <w:r w:rsidR="00D46219" w:rsidRPr="009C1EBA">
        <w:rPr>
          <w:rFonts w:ascii="Arial" w:hAnsi="Arial" w:cs="Arial"/>
          <w:sz w:val="21"/>
          <w:szCs w:val="21"/>
        </w:rPr>
        <w:t>7</w:t>
      </w:r>
      <w:r w:rsidRPr="009C1EBA">
        <w:rPr>
          <w:rFonts w:ascii="Arial" w:hAnsi="Arial" w:cs="Arial"/>
          <w:sz w:val="21"/>
          <w:szCs w:val="21"/>
        </w:rPr>
        <w:t xml:space="preserve"> con provvedimento n</w:t>
      </w:r>
      <w:r w:rsidR="00724110" w:rsidRPr="009C1EBA">
        <w:rPr>
          <w:rFonts w:ascii="Arial" w:hAnsi="Arial" w:cs="Arial"/>
          <w:sz w:val="21"/>
          <w:szCs w:val="21"/>
        </w:rPr>
        <w:t>° 20</w:t>
      </w:r>
      <w:r w:rsidRPr="009C1EBA">
        <w:rPr>
          <w:rFonts w:ascii="Arial" w:hAnsi="Arial" w:cs="Arial"/>
          <w:sz w:val="21"/>
          <w:szCs w:val="21"/>
        </w:rPr>
        <w:t>, la cui validità è stata prorogata, in esercizio provvisorio del bilancio di previsione per l’esercizio 2018, sino all’adozione del bilancio di previsione di competenza e sino all’adozione dei relativi Atto di indirizzo.</w:t>
      </w:r>
    </w:p>
    <w:p w:rsidR="00917FEC" w:rsidRPr="009C1EBA" w:rsidRDefault="00917FEC">
      <w:pPr>
        <w:pStyle w:val="Standard"/>
        <w:spacing w:before="100" w:after="0" w:line="240" w:lineRule="auto"/>
        <w:jc w:val="both"/>
        <w:rPr>
          <w:rFonts w:ascii="Arial" w:hAnsi="Arial" w:cs="Arial"/>
          <w:spacing w:val="2"/>
          <w:sz w:val="21"/>
          <w:szCs w:val="21"/>
        </w:rPr>
      </w:pPr>
    </w:p>
    <w:p w:rsidR="00917FEC" w:rsidRPr="009C1EBA" w:rsidRDefault="00A91522">
      <w:pPr>
        <w:pStyle w:val="Titolo1"/>
        <w:jc w:val="both"/>
        <w:rPr>
          <w:sz w:val="24"/>
          <w:szCs w:val="24"/>
        </w:rPr>
      </w:pPr>
      <w:bookmarkStart w:id="1" w:name="__RefHeading___Toc1940_761212699"/>
      <w:r w:rsidRPr="009C1EBA">
        <w:rPr>
          <w:sz w:val="24"/>
          <w:szCs w:val="24"/>
        </w:rPr>
        <w:t>1. IL RESPONSABILE DELLA PREVENZIONE DELLA CORRUZIONE E DELLA TRASPARENZA (RPCT)</w:t>
      </w:r>
      <w:bookmarkEnd w:id="1"/>
    </w:p>
    <w:p w:rsidR="00917FEC" w:rsidRPr="009C1EBA" w:rsidRDefault="00A91522">
      <w:pPr>
        <w:pStyle w:val="Standard"/>
        <w:spacing w:before="100" w:after="0" w:line="240" w:lineRule="auto"/>
        <w:jc w:val="both"/>
        <w:rPr>
          <w:rFonts w:ascii="Arial" w:hAnsi="Arial" w:cs="Arial"/>
          <w:spacing w:val="2"/>
          <w:sz w:val="21"/>
          <w:szCs w:val="21"/>
        </w:rPr>
      </w:pPr>
      <w:r w:rsidRPr="009C1EBA">
        <w:rPr>
          <w:rFonts w:ascii="Arial" w:hAnsi="Arial" w:cs="Arial"/>
          <w:spacing w:val="2"/>
          <w:sz w:val="21"/>
          <w:szCs w:val="21"/>
        </w:rPr>
        <w:t>Il Responsabile per la Prevenzione della Corruzione e della Trasparenza (RPCT), unisce a sé l’incarico di Responsabile della prevenzione della corruzione e della trasparenza: ad esso sono riconosciuti poteri e funzioni idonei a garantire lo svolgimento dell’incarico con autonomia ed effettività.</w:t>
      </w:r>
    </w:p>
    <w:p w:rsidR="00917FEC" w:rsidRPr="009C1EBA" w:rsidRDefault="00A91522">
      <w:pPr>
        <w:pStyle w:val="Standard"/>
        <w:spacing w:before="100" w:after="0" w:line="240" w:lineRule="auto"/>
        <w:jc w:val="both"/>
        <w:rPr>
          <w:rFonts w:ascii="Arial" w:hAnsi="Arial" w:cs="Arial"/>
          <w:spacing w:val="2"/>
          <w:sz w:val="21"/>
          <w:szCs w:val="21"/>
        </w:rPr>
      </w:pPr>
      <w:r w:rsidRPr="009C1EBA">
        <w:rPr>
          <w:rFonts w:ascii="Arial" w:hAnsi="Arial" w:cs="Arial"/>
          <w:spacing w:val="2"/>
          <w:sz w:val="21"/>
          <w:szCs w:val="21"/>
        </w:rPr>
        <w:t>Il Responsabile di Prevenzione della Corruzione e della Trasparenza (RPCT) riveste un ruolo centrale nell'ambito della normativa e dell'organizzazione amministrativa di prevenzione della corruzione e della promozione della trasparenza. La legge n. 190/2012 prevede che ogni amministrazione pubblica nomini un Responsabile di Prevenzione della Corruzione e della Trasparenza, in possesso di particolari requisiti. Nei Comuni il RPCT è individuato, di norma, nel Segretario Generale, salva diversa e motivata determinazione ed è nominato dal Sindaco quale organo di indirizzo politico amministrativo dell'ente.</w:t>
      </w:r>
    </w:p>
    <w:p w:rsidR="00917FEC" w:rsidRPr="009C1EBA" w:rsidRDefault="00A91522">
      <w:pPr>
        <w:pStyle w:val="Standard"/>
        <w:spacing w:before="100" w:after="0" w:line="240" w:lineRule="auto"/>
        <w:jc w:val="both"/>
        <w:rPr>
          <w:rFonts w:ascii="Arial" w:hAnsi="Arial" w:cs="Arial"/>
          <w:spacing w:val="2"/>
          <w:sz w:val="21"/>
          <w:szCs w:val="21"/>
        </w:rPr>
      </w:pPr>
      <w:r w:rsidRPr="009C1EBA">
        <w:rPr>
          <w:rFonts w:ascii="Arial" w:hAnsi="Arial" w:cs="Arial"/>
          <w:spacing w:val="2"/>
          <w:sz w:val="21"/>
          <w:szCs w:val="21"/>
        </w:rPr>
        <w:t>Il RPCT, il cui ruolo e funzione deve essere svolto in condizioni di garanzia e indipendenza, in particolare, provvede:</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t>alla predisposizione del PTPCT entro i termini stabiliti;</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t>a proporre la modifica del Piano quando sono accertate significative violazioni delle prescrizioni ovvero quando intervengono mutamenti nell’organizzazione o nell’attività dell’amministrazione;</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t>alla verifica, con il dirigente competente, dell’effettiva rotazione degli incarichi negli uffici preposti allo svolgimento delle attività a rischio corruzione;</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lastRenderedPageBreak/>
        <w:t>ad individuare il personale da inserire nei programmi di formazione e definire le procedure appropriate per selezionare e formare i dipendenti dell’ente che operano nei settori più a rischio;</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t>a redigere una relazione sui risultati della propria attività e trasmetterla entro il 15 dicembre di ogni anno all’organo di indirizzo politico dell’ente e all'ANAC, pubblicandola sul sito istituzionale;</w:t>
      </w:r>
    </w:p>
    <w:p w:rsidR="00917FEC" w:rsidRPr="009C1EBA" w:rsidRDefault="00A91522">
      <w:pPr>
        <w:pStyle w:val="Standard"/>
        <w:numPr>
          <w:ilvl w:val="0"/>
          <w:numId w:val="19"/>
        </w:numPr>
        <w:spacing w:before="100" w:after="0" w:line="240" w:lineRule="auto"/>
        <w:jc w:val="both"/>
        <w:rPr>
          <w:rFonts w:ascii="Arial" w:hAnsi="Arial" w:cs="Arial"/>
          <w:spacing w:val="2"/>
          <w:sz w:val="21"/>
          <w:szCs w:val="21"/>
        </w:rPr>
      </w:pPr>
      <w:r w:rsidRPr="009C1EBA">
        <w:rPr>
          <w:rFonts w:ascii="Arial" w:hAnsi="Arial" w:cs="Arial"/>
          <w:spacing w:val="2"/>
          <w:sz w:val="21"/>
          <w:szCs w:val="21"/>
        </w:rPr>
        <w:t>alla verifica dell’efficace attuazione del Piano e della sua idoneità.</w:t>
      </w:r>
    </w:p>
    <w:p w:rsidR="00917FEC" w:rsidRPr="009C1EBA" w:rsidRDefault="00917FEC">
      <w:pPr>
        <w:pStyle w:val="Standard"/>
        <w:spacing w:before="100" w:after="0" w:line="240" w:lineRule="auto"/>
        <w:jc w:val="both"/>
        <w:rPr>
          <w:rFonts w:ascii="Arial" w:hAnsi="Arial" w:cs="Arial"/>
          <w:spacing w:val="2"/>
          <w:sz w:val="21"/>
          <w:szCs w:val="21"/>
        </w:rPr>
      </w:pPr>
    </w:p>
    <w:p w:rsidR="00917FEC" w:rsidRPr="009C1EBA" w:rsidRDefault="00A91522">
      <w:pPr>
        <w:pStyle w:val="Standard"/>
        <w:spacing w:before="100" w:after="0" w:line="240" w:lineRule="auto"/>
        <w:jc w:val="both"/>
        <w:rPr>
          <w:rFonts w:ascii="Arial" w:hAnsi="Arial" w:cs="Arial"/>
          <w:spacing w:val="2"/>
          <w:sz w:val="21"/>
          <w:szCs w:val="21"/>
        </w:rPr>
      </w:pPr>
      <w:r w:rsidRPr="009C1EBA">
        <w:rPr>
          <w:rFonts w:ascii="Arial" w:hAnsi="Arial" w:cs="Arial"/>
          <w:spacing w:val="2"/>
          <w:sz w:val="21"/>
          <w:szCs w:val="21"/>
        </w:rPr>
        <w:t>Le misure di prevenzione della corruzione coinvolgono il contesto organizzativo, in quanto con esse vengono adottati interventi che incidono sull'amministrazione nel suo complesso, ovvero singoli settori, ovvero singoli processi/procedimenti tesi a ridurre le condizioni operative che favoriscono la corruzione. Per tali ragioni il RPCT deve assicurare il pieno coinvolgimento e la massima partecipazione attiva, in tutte le fasi di predisposizione ed attuazione delle misure di prevenzione, dell'intera struttura, favorendo la responsabilizzazione degli uffici, al fine di garantire una migliore qualità del PTPCT, evitando che le stesse misure si trasformino in un mero adempimento. A tal fine, una fondamentale azione da parte del RPCT, oltre al coinvolgimento attivo di tutta la struttura organizzativa, è l'investimento in attività di formazione in materia di anticorruzione, così come meglio specificato.</w:t>
      </w:r>
    </w:p>
    <w:p w:rsidR="00917FEC" w:rsidRPr="009C1EBA" w:rsidRDefault="00A91522">
      <w:pPr>
        <w:pStyle w:val="Standard"/>
        <w:spacing w:before="100" w:after="0" w:line="240" w:lineRule="auto"/>
        <w:jc w:val="both"/>
        <w:rPr>
          <w:rFonts w:ascii="Arial" w:hAnsi="Arial" w:cs="Arial"/>
          <w:spacing w:val="2"/>
          <w:sz w:val="21"/>
          <w:szCs w:val="21"/>
        </w:rPr>
      </w:pPr>
      <w:r w:rsidRPr="009C1EBA">
        <w:rPr>
          <w:rFonts w:ascii="Arial" w:hAnsi="Arial" w:cs="Arial"/>
          <w:spacing w:val="2"/>
          <w:sz w:val="21"/>
          <w:szCs w:val="21"/>
        </w:rPr>
        <w:t xml:space="preserve">Con deliberazione giuntale del </w:t>
      </w:r>
      <w:r w:rsidR="00724110" w:rsidRPr="009C1EBA">
        <w:rPr>
          <w:rFonts w:ascii="Arial" w:hAnsi="Arial" w:cs="Arial"/>
          <w:spacing w:val="2"/>
          <w:sz w:val="21"/>
          <w:szCs w:val="21"/>
        </w:rPr>
        <w:t>25.01.2018 n. 4,</w:t>
      </w:r>
      <w:r w:rsidRPr="009C1EBA">
        <w:rPr>
          <w:rFonts w:ascii="Arial" w:hAnsi="Arial" w:cs="Arial"/>
          <w:spacing w:val="2"/>
          <w:sz w:val="21"/>
          <w:szCs w:val="21"/>
        </w:rPr>
        <w:t xml:space="preserve"> protocollo, il Segretario comunale, dott. Zampedri Bruno, </w:t>
      </w:r>
      <w:r w:rsidR="004B1BEB" w:rsidRPr="009C1EBA">
        <w:rPr>
          <w:rFonts w:ascii="Arial" w:hAnsi="Arial" w:cs="Arial"/>
          <w:spacing w:val="2"/>
          <w:sz w:val="21"/>
          <w:szCs w:val="21"/>
        </w:rPr>
        <w:t xml:space="preserve">dipendente del Comune di Ospedaletto (TN), assunto in servizio presso questo Comune </w:t>
      </w:r>
      <w:r w:rsidR="004B1BEB" w:rsidRPr="009C1EBA">
        <w:rPr>
          <w:rFonts w:ascii="Arial" w:hAnsi="Arial" w:cs="Arial" w:hint="eastAsia"/>
          <w:spacing w:val="2"/>
          <w:sz w:val="21"/>
          <w:szCs w:val="21"/>
        </w:rPr>
        <w:t>per effetto di specifica Convenzione</w:t>
      </w:r>
      <w:r w:rsidR="00D46219" w:rsidRPr="009C1EBA">
        <w:rPr>
          <w:rFonts w:ascii="Arial" w:hAnsi="Arial" w:cs="Arial"/>
          <w:spacing w:val="2"/>
          <w:sz w:val="21"/>
          <w:szCs w:val="21"/>
        </w:rPr>
        <w:t>, approvata dal Commissario ad acta con deliberazione n. 2 del 27.02.2017,</w:t>
      </w:r>
      <w:r w:rsidR="004B1BEB" w:rsidRPr="009C1EBA">
        <w:rPr>
          <w:rFonts w:ascii="Arial" w:hAnsi="Arial" w:cs="Arial" w:hint="eastAsia"/>
          <w:spacing w:val="2"/>
          <w:sz w:val="21"/>
          <w:szCs w:val="21"/>
        </w:rPr>
        <w:t xml:space="preserve"> nell'ambito della Gestione associata obbligatoria dei servizi di cui alla L.P. n° 3/2006 e s.m. </w:t>
      </w:r>
      <w:r w:rsidRPr="009C1EBA">
        <w:rPr>
          <w:rFonts w:ascii="Arial" w:hAnsi="Arial" w:cs="Arial"/>
          <w:spacing w:val="2"/>
          <w:sz w:val="21"/>
          <w:szCs w:val="21"/>
        </w:rPr>
        <w:t>è stato nominato Responsabile di Prevenzione della Corruzione e della Trasparenza</w:t>
      </w:r>
      <w:r w:rsidR="004B1BEB" w:rsidRPr="009C1EBA">
        <w:rPr>
          <w:rFonts w:ascii="Arial" w:hAnsi="Arial" w:cs="Arial"/>
          <w:spacing w:val="2"/>
          <w:sz w:val="21"/>
          <w:szCs w:val="21"/>
        </w:rPr>
        <w:t>, a far data dal 1° aprile 2017</w:t>
      </w:r>
      <w:r w:rsidRPr="009C1EBA">
        <w:rPr>
          <w:rFonts w:ascii="Arial" w:hAnsi="Arial" w:cs="Arial"/>
          <w:spacing w:val="2"/>
          <w:sz w:val="21"/>
          <w:szCs w:val="21"/>
        </w:rPr>
        <w:t>.</w:t>
      </w:r>
    </w:p>
    <w:p w:rsidR="00917FEC" w:rsidRPr="009C1EBA" w:rsidRDefault="00917FEC">
      <w:pPr>
        <w:pStyle w:val="Standard"/>
        <w:spacing w:before="100" w:after="0" w:line="240" w:lineRule="auto"/>
        <w:jc w:val="both"/>
        <w:rPr>
          <w:rFonts w:ascii="Arial" w:hAnsi="Arial" w:cs="Arial"/>
          <w:spacing w:val="2"/>
          <w:sz w:val="21"/>
          <w:szCs w:val="21"/>
        </w:rPr>
      </w:pPr>
    </w:p>
    <w:p w:rsidR="00917FEC" w:rsidRPr="009C1EBA" w:rsidRDefault="00A91522">
      <w:pPr>
        <w:pStyle w:val="Standard"/>
        <w:spacing w:before="100" w:after="0" w:line="240" w:lineRule="auto"/>
        <w:jc w:val="both"/>
      </w:pPr>
      <w:r w:rsidRPr="009C1EBA">
        <w:rPr>
          <w:rFonts w:ascii="Arial" w:hAnsi="Arial" w:cs="Arial"/>
          <w:spacing w:val="2"/>
          <w:sz w:val="21"/>
          <w:szCs w:val="21"/>
        </w:rPr>
        <w:t>Il Responsabile della Prevenzione della Corruzione e della Trasparenza per l’esercizio delle proprie funzioni si avvale della collaborazione degli altri dipendenti del Comune, in particolare i responsabili di Servizio/Ufficio, responsabili dei vari procedimenti.</w:t>
      </w:r>
    </w:p>
    <w:p w:rsidR="00917FEC" w:rsidRPr="009C1EBA" w:rsidRDefault="00A91522">
      <w:pPr>
        <w:pStyle w:val="Titolo1"/>
      </w:pPr>
      <w:bookmarkStart w:id="2" w:name="__RefHeading___Toc1942_761212699"/>
      <w:r w:rsidRPr="009C1EBA">
        <w:rPr>
          <w:bCs/>
          <w:sz w:val="24"/>
          <w:szCs w:val="24"/>
        </w:rPr>
        <w:t>2. IL CONTESTO ESTERNO ED INTERNO</w:t>
      </w:r>
      <w:bookmarkEnd w:id="2"/>
    </w:p>
    <w:p w:rsidR="00917FEC" w:rsidRPr="009C1EBA" w:rsidRDefault="00A91522">
      <w:pPr>
        <w:pStyle w:val="Standard"/>
        <w:spacing w:before="100" w:after="0" w:line="240" w:lineRule="auto"/>
        <w:jc w:val="both"/>
        <w:textAlignment w:val="top"/>
      </w:pPr>
      <w:r w:rsidRPr="009C1EBA">
        <w:rPr>
          <w:rFonts w:ascii="Arial" w:hAnsi="Arial" w:cs="Arial"/>
          <w:sz w:val="21"/>
          <w:szCs w:val="21"/>
        </w:rPr>
        <w:t xml:space="preserve">L’analisi del contesto esterno ha come obiettivo quello di evidenziare come le caratteristiche dell’ambiente nel quale il Comune di </w:t>
      </w:r>
      <w:r w:rsidR="004B1BEB" w:rsidRPr="009C1EBA">
        <w:rPr>
          <w:rFonts w:ascii="Arial" w:hAnsi="Arial" w:cs="Arial"/>
          <w:sz w:val="21"/>
          <w:szCs w:val="21"/>
        </w:rPr>
        <w:t>Cinte Tesino</w:t>
      </w:r>
      <w:r w:rsidRPr="009C1EBA">
        <w:rPr>
          <w:rFonts w:ascii="Arial" w:hAnsi="Arial" w:cs="Arial"/>
          <w:sz w:val="21"/>
          <w:szCs w:val="21"/>
        </w:rPr>
        <w:t xml:space="preserve"> è chiamato ad operare, con riferimento, ad esempio, a variabili culturali, criminologiche, sociali ed economiche del territorio possano favorire il verificarsi di fenomeni corruttivi al proprio interno. A tal fine, sono stati considerati sia i fattori legati al territorio Trentino di riferimento, sia le relazioni e le possibili influenze esistenti con i portatori e i rappresentanti di interessi esterni.</w:t>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Comprendere le dinamiche territoriali di riferimento e le principali influenze e pressioni a cui un Ente locale struttura è sottoposto consente infatti di indirizzare con maggiore efficacia e precisione la strategia di gestione del rischio.</w:t>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Il territorio Trentino è notoriamente caratterizzato dall’assenza di fenomeni evidenti di criminalità organizzata.</w:t>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Con deliberazione della Giunta provinciale 4 settembre 2014, n. 1492, è stato confermato il gruppo di lavoro in materia di sicurezza, il quale è investito del compito di analizzare la vulnerabilità all’infiltrazione criminale del sistema economico trentino, al fine di sviluppare risposte preventive attraverso il monitoraggio dei segnali di allarme.</w:t>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I risultati delle indagini annuali, una volta pubblicati sul sito istituzionale della Provincia Autonoma di Trento, sono analizzati per indirizzare le politiche preventive dell’Amministrazione.</w:t>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In tale ambito è stato somministrato nel 2015 un questionario da compilare via Web. L’indagine ha riguardato il settore delle costruzioni.</w:t>
      </w:r>
    </w:p>
    <w:p w:rsidR="00917FEC" w:rsidRPr="009C1EBA" w:rsidRDefault="00A91522">
      <w:pPr>
        <w:pStyle w:val="Standard"/>
        <w:spacing w:before="100" w:after="0" w:line="240" w:lineRule="auto"/>
        <w:jc w:val="both"/>
        <w:textAlignment w:val="top"/>
      </w:pPr>
      <w:r w:rsidRPr="009C1EBA">
        <w:rPr>
          <w:rFonts w:ascii="Arial" w:hAnsi="Arial" w:cs="Arial"/>
          <w:sz w:val="21"/>
          <w:szCs w:val="21"/>
        </w:rPr>
        <w:t xml:space="preserve">Nonostante i risultati dimostrino che gli intervistati non abbiano sostanzialmente avuto contatto diretto con la criminalità organizzata o episodi di corruzione, il loro stato d’animo non è di assoluta serenità. Aldilà delle indagini sulla percezione, per comprendere la dimensione dei reati commessi sul territorio </w:t>
      </w:r>
      <w:r w:rsidRPr="009C1EBA">
        <w:rPr>
          <w:rFonts w:ascii="Arial" w:hAnsi="Arial" w:cs="Arial"/>
          <w:sz w:val="21"/>
          <w:szCs w:val="21"/>
        </w:rPr>
        <w:lastRenderedPageBreak/>
        <w:t>può servire lo studio portato avanti da Transcrime</w:t>
      </w:r>
      <w:r w:rsidRPr="009C1EBA">
        <w:rPr>
          <w:rStyle w:val="Footnoteanchor"/>
          <w:rFonts w:ascii="Arial" w:hAnsi="Arial" w:cs="Arial"/>
          <w:sz w:val="21"/>
          <w:szCs w:val="21"/>
        </w:rPr>
        <w:footnoteReference w:id="1"/>
      </w:r>
      <w:r w:rsidRPr="009C1EBA">
        <w:rPr>
          <w:rFonts w:ascii="Arial" w:hAnsi="Arial" w:cs="Arial"/>
          <w:sz w:val="21"/>
          <w:szCs w:val="21"/>
        </w:rPr>
        <w:t xml:space="preserve"> per conto della Provincia Autonoma di Trento, riferita al periodo 2004-2013, anche se non specificamente orientato all’analisi dei reati contro la Pubblica Amministrazione.</w:t>
      </w:r>
    </w:p>
    <w:p w:rsidR="00917FEC" w:rsidRPr="009C1EBA" w:rsidRDefault="00917FEC">
      <w:pPr>
        <w:pStyle w:val="Standard"/>
        <w:spacing w:before="100" w:after="0" w:line="240" w:lineRule="auto"/>
        <w:jc w:val="both"/>
        <w:textAlignment w:val="top"/>
        <w:rPr>
          <w:rFonts w:ascii="Arial" w:hAnsi="Arial" w:cs="Arial"/>
          <w:sz w:val="21"/>
          <w:szCs w:val="21"/>
        </w:rPr>
      </w:pPr>
    </w:p>
    <w:p w:rsidR="00917FEC" w:rsidRPr="009C1EBA" w:rsidRDefault="00A91522">
      <w:pPr>
        <w:pStyle w:val="Standard"/>
        <w:spacing w:before="100" w:after="0" w:line="240" w:lineRule="auto"/>
        <w:jc w:val="both"/>
        <w:textAlignment w:val="top"/>
      </w:pPr>
      <w:r w:rsidRPr="009C1EBA">
        <w:rPr>
          <w:rFonts w:ascii="Arial" w:hAnsi="Arial" w:cs="Arial"/>
          <w:i/>
          <w:sz w:val="18"/>
          <w:szCs w:val="18"/>
          <w:u w:val="single"/>
        </w:rPr>
        <w:t xml:space="preserve">Rapporto sulla sicurezza nel Trentino 2014 </w:t>
      </w:r>
      <w:r w:rsidRPr="009C1EBA">
        <w:rPr>
          <w:rFonts w:ascii="Arial" w:hAnsi="Arial" w:cs="Arial"/>
          <w:i/>
          <w:sz w:val="18"/>
          <w:szCs w:val="18"/>
        </w:rPr>
        <w:t>(Consegnato alla PAT in data 31 dicembre 2014)</w:t>
      </w:r>
    </w:p>
    <w:p w:rsidR="00917FEC" w:rsidRPr="009C1EBA" w:rsidRDefault="00A91522">
      <w:pPr>
        <w:pStyle w:val="Standard"/>
        <w:spacing w:before="40" w:after="0" w:line="240" w:lineRule="auto"/>
        <w:jc w:val="both"/>
        <w:textAlignment w:val="top"/>
      </w:pPr>
      <w:r w:rsidRPr="009C1EBA">
        <w:rPr>
          <w:rFonts w:ascii="Arial" w:hAnsi="Arial" w:cs="Arial"/>
          <w:sz w:val="18"/>
          <w:szCs w:val="18"/>
        </w:rPr>
        <w:t>“</w:t>
      </w:r>
      <w:r w:rsidRPr="009C1EBA">
        <w:rPr>
          <w:rFonts w:ascii="Arial" w:hAnsi="Arial" w:cs="Arial"/>
          <w:i/>
          <w:iCs/>
          <w:sz w:val="18"/>
          <w:szCs w:val="18"/>
        </w:rPr>
        <w:t xml:space="preserve">La provincia di Trento presenta un trend simile a quello nazionale e a quello del Nord-est per quanto riguarda il generale andamento della delittuosità dal 2004 al 2013. Pur presentando </w:t>
      </w:r>
      <w:r w:rsidRPr="009C1EBA">
        <w:rPr>
          <w:rFonts w:ascii="Arial" w:hAnsi="Arial" w:cs="Arial"/>
          <w:b/>
          <w:bCs/>
          <w:i/>
          <w:iCs/>
          <w:sz w:val="18"/>
          <w:szCs w:val="18"/>
        </w:rPr>
        <w:t xml:space="preserve">tassi più bassi </w:t>
      </w:r>
      <w:r w:rsidRPr="009C1EBA">
        <w:rPr>
          <w:rFonts w:ascii="Arial" w:hAnsi="Arial" w:cs="Arial"/>
          <w:i/>
          <w:iCs/>
          <w:sz w:val="18"/>
          <w:szCs w:val="18"/>
        </w:rPr>
        <w:t>rispetto alla media italiana, il trend diminuisce dal 2004 al 2006, cresce nuovamente dal 2006 al 2007, per poi decrescere dal 2007 al 2010. Dal 2010, perfettamente in linea con la media nazionale, il tasso di reati aumenta fino a raggiungere i 3.472 reati ogni 100.000 abitanti nel 2013.</w:t>
      </w:r>
    </w:p>
    <w:p w:rsidR="00917FEC" w:rsidRPr="009C1EBA" w:rsidRDefault="00A91522">
      <w:pPr>
        <w:pStyle w:val="Standard"/>
        <w:spacing w:before="40" w:after="0" w:line="240" w:lineRule="auto"/>
        <w:jc w:val="center"/>
        <w:textAlignment w:val="top"/>
      </w:pPr>
      <w:r w:rsidRPr="009C1EBA">
        <w:rPr>
          <w:noProof/>
          <w:sz w:val="21"/>
          <w:szCs w:val="21"/>
          <w:lang w:eastAsia="it-IT"/>
        </w:rPr>
        <w:drawing>
          <wp:inline distT="0" distB="0" distL="0" distR="0">
            <wp:extent cx="3360602" cy="3334323"/>
            <wp:effectExtent l="0" t="0" r="0" b="0"/>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l="-3" t="-3" r="-3" b="-3"/>
                    <a:stretch>
                      <a:fillRect/>
                    </a:stretch>
                  </pic:blipFill>
                  <pic:spPr>
                    <a:xfrm>
                      <a:off x="0" y="0"/>
                      <a:ext cx="3360602" cy="3334323"/>
                    </a:xfrm>
                    <a:prstGeom prst="rect">
                      <a:avLst/>
                    </a:prstGeom>
                    <a:noFill/>
                    <a:ln>
                      <a:noFill/>
                      <a:prstDash/>
                    </a:ln>
                  </pic:spPr>
                </pic:pic>
              </a:graphicData>
            </a:graphic>
          </wp:inline>
        </w:drawing>
      </w:r>
    </w:p>
    <w:p w:rsidR="00917FEC" w:rsidRPr="009C1EBA" w:rsidRDefault="00A91522">
      <w:pPr>
        <w:pStyle w:val="Standard"/>
        <w:spacing w:before="40" w:after="0" w:line="240" w:lineRule="auto"/>
        <w:jc w:val="center"/>
        <w:textAlignment w:val="top"/>
      </w:pPr>
      <w:r w:rsidRPr="009C1EBA">
        <w:rPr>
          <w:noProof/>
          <w:sz w:val="21"/>
          <w:szCs w:val="21"/>
          <w:lang w:eastAsia="it-IT"/>
        </w:rPr>
        <w:drawing>
          <wp:inline distT="0" distB="0" distL="0" distR="0">
            <wp:extent cx="2635200" cy="2747159"/>
            <wp:effectExtent l="0" t="0" r="0" b="0"/>
            <wp:docPr id="2"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l="-4" t="-3" r="-4" b="-3"/>
                    <a:stretch>
                      <a:fillRect/>
                    </a:stretch>
                  </pic:blipFill>
                  <pic:spPr>
                    <a:xfrm>
                      <a:off x="0" y="0"/>
                      <a:ext cx="2635200" cy="2747159"/>
                    </a:xfrm>
                    <a:prstGeom prst="rect">
                      <a:avLst/>
                    </a:prstGeom>
                    <a:noFill/>
                    <a:ln>
                      <a:noFill/>
                      <a:prstDash/>
                    </a:ln>
                  </pic:spPr>
                </pic:pic>
              </a:graphicData>
            </a:graphic>
          </wp:inline>
        </w:drawing>
      </w:r>
    </w:p>
    <w:p w:rsidR="00917FEC" w:rsidRPr="009C1EBA" w:rsidRDefault="00A91522">
      <w:pPr>
        <w:pStyle w:val="Standard"/>
        <w:spacing w:before="40" w:after="0" w:line="240" w:lineRule="auto"/>
        <w:jc w:val="both"/>
        <w:textAlignment w:val="top"/>
        <w:rPr>
          <w:rFonts w:ascii="Arial" w:hAnsi="Arial" w:cs="Arial"/>
          <w:i/>
          <w:iCs/>
          <w:sz w:val="18"/>
          <w:szCs w:val="18"/>
        </w:rPr>
      </w:pPr>
      <w:r w:rsidRPr="009C1EBA">
        <w:rPr>
          <w:rFonts w:ascii="Arial" w:hAnsi="Arial" w:cs="Arial"/>
          <w:i/>
          <w:iCs/>
          <w:sz w:val="18"/>
          <w:szCs w:val="18"/>
        </w:rPr>
        <w:lastRenderedPageBreak/>
        <w:t>Se si analizzano più nello specifico le diverse comunità di valle facenti parte del territorio della provincia di Trento, si può notare come nel 2013 il Territorio della Val d’Adige (5.285 reati ogni 100.000 abitanti), la Comunità Alto Garda e Ledro (4.448 reati ogni 100.000 abitanti) e Comun General de Fascia (4.032 reati ogni 100.000 abitanti) siano le comunità che registrano tassi di reato più alti (Tab. 4. e Fig. 6).</w:t>
      </w:r>
    </w:p>
    <w:p w:rsidR="00917FEC" w:rsidRPr="009C1EBA" w:rsidRDefault="00A91522">
      <w:pPr>
        <w:pStyle w:val="Standard"/>
        <w:spacing w:before="40" w:after="0" w:line="240" w:lineRule="auto"/>
        <w:jc w:val="both"/>
        <w:textAlignment w:val="top"/>
        <w:rPr>
          <w:rFonts w:ascii="Arial" w:hAnsi="Arial" w:cs="Arial"/>
          <w:i/>
          <w:iCs/>
          <w:sz w:val="18"/>
          <w:szCs w:val="18"/>
        </w:rPr>
      </w:pPr>
      <w:r w:rsidRPr="009C1EBA">
        <w:rPr>
          <w:rFonts w:ascii="Arial" w:hAnsi="Arial" w:cs="Arial"/>
          <w:i/>
          <w:iCs/>
          <w:sz w:val="18"/>
          <w:szCs w:val="18"/>
        </w:rPr>
        <w:t>Al contrario, la Comunità della Valle di Cembra (1.325), la Comunità della Valle dei Laghi (2.057) e la Comunità della Val di Non (2.062) registrano i tassi più bassi dell’intero Trentino.</w:t>
      </w:r>
    </w:p>
    <w:p w:rsidR="00917FEC" w:rsidRPr="009C1EBA" w:rsidRDefault="00A91522">
      <w:pPr>
        <w:pStyle w:val="Standard"/>
        <w:spacing w:before="40" w:after="0" w:line="240" w:lineRule="auto"/>
        <w:jc w:val="both"/>
        <w:textAlignment w:val="top"/>
        <w:rPr>
          <w:rFonts w:ascii="Arial" w:hAnsi="Arial" w:cs="Arial"/>
          <w:i/>
          <w:iCs/>
          <w:sz w:val="18"/>
          <w:szCs w:val="18"/>
        </w:rPr>
      </w:pPr>
      <w:r w:rsidRPr="009C1EBA">
        <w:rPr>
          <w:rFonts w:ascii="Arial" w:hAnsi="Arial" w:cs="Arial"/>
          <w:i/>
          <w:iCs/>
          <w:sz w:val="18"/>
          <w:szCs w:val="18"/>
        </w:rPr>
        <w:t>È interessante notare come nonostante la Comunità della Val di Non, che presenta un basso tasso di reati nel 2013, registri invece la più alta variazione percentuale rispetto al 2004 (+60,5%) (Tab. 4. e Fig.7.).</w:t>
      </w:r>
    </w:p>
    <w:p w:rsidR="00917FEC" w:rsidRPr="009C1EBA" w:rsidRDefault="00A91522">
      <w:pPr>
        <w:pStyle w:val="Standard"/>
        <w:spacing w:before="40" w:after="0" w:line="240" w:lineRule="auto"/>
        <w:jc w:val="both"/>
        <w:textAlignment w:val="top"/>
        <w:rPr>
          <w:rFonts w:ascii="Arial" w:hAnsi="Arial" w:cs="Arial"/>
          <w:i/>
          <w:iCs/>
          <w:sz w:val="18"/>
          <w:szCs w:val="18"/>
        </w:rPr>
      </w:pPr>
      <w:r w:rsidRPr="009C1EBA">
        <w:rPr>
          <w:rFonts w:ascii="Arial" w:hAnsi="Arial" w:cs="Arial"/>
          <w:i/>
          <w:iCs/>
          <w:sz w:val="18"/>
          <w:szCs w:val="18"/>
        </w:rPr>
        <w:t>Tra le comunità di valle, quest’ultima, è l’unica a presentare un forte aumento del tasso di reati rispetto al 2004. Una forte diminuzione del tasso, invece, viene riportata da Comun General de Fascia, che, pur registrando un alto tasso nel 2013, presenta una variazione percentuale pari a -44,7% rispetto al 2004 (Tab 4. e Fig.7.).”</w:t>
      </w:r>
    </w:p>
    <w:p w:rsidR="00917FEC" w:rsidRPr="009C1EBA" w:rsidRDefault="00917FEC">
      <w:pPr>
        <w:pStyle w:val="Standard"/>
        <w:spacing w:before="40" w:after="0" w:line="240" w:lineRule="auto"/>
        <w:jc w:val="both"/>
        <w:textAlignment w:val="top"/>
        <w:rPr>
          <w:rFonts w:ascii="Arial" w:hAnsi="Arial" w:cs="Arial"/>
          <w:i/>
          <w:iCs/>
          <w:sz w:val="21"/>
          <w:szCs w:val="21"/>
        </w:rPr>
      </w:pPr>
    </w:p>
    <w:p w:rsidR="00917FEC" w:rsidRPr="009C1EBA" w:rsidRDefault="00A91522">
      <w:pPr>
        <w:pStyle w:val="Standard"/>
        <w:spacing w:before="40" w:after="0" w:line="240" w:lineRule="auto"/>
        <w:jc w:val="center"/>
        <w:textAlignment w:val="top"/>
      </w:pPr>
      <w:r w:rsidRPr="009C1EBA">
        <w:rPr>
          <w:noProof/>
          <w:sz w:val="21"/>
          <w:szCs w:val="21"/>
          <w:lang w:eastAsia="it-IT"/>
        </w:rPr>
        <w:drawing>
          <wp:inline distT="0" distB="0" distL="0" distR="0">
            <wp:extent cx="2704319" cy="2985122"/>
            <wp:effectExtent l="0" t="0" r="781" b="5728"/>
            <wp:docPr id="3"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l="-11" t="-10" r="-11" b="-10"/>
                    <a:stretch>
                      <a:fillRect/>
                    </a:stretch>
                  </pic:blipFill>
                  <pic:spPr>
                    <a:xfrm>
                      <a:off x="0" y="0"/>
                      <a:ext cx="2704319" cy="2985122"/>
                    </a:xfrm>
                    <a:prstGeom prst="rect">
                      <a:avLst/>
                    </a:prstGeom>
                    <a:noFill/>
                    <a:ln>
                      <a:noFill/>
                      <a:prstDash/>
                    </a:ln>
                  </pic:spPr>
                </pic:pic>
              </a:graphicData>
            </a:graphic>
          </wp:inline>
        </w:drawing>
      </w:r>
    </w:p>
    <w:p w:rsidR="00917FEC" w:rsidRPr="009C1EBA" w:rsidRDefault="00917FEC">
      <w:pPr>
        <w:pStyle w:val="Standard"/>
        <w:spacing w:before="40" w:after="0" w:line="240" w:lineRule="auto"/>
        <w:jc w:val="center"/>
        <w:textAlignment w:val="top"/>
        <w:rPr>
          <w:sz w:val="21"/>
          <w:szCs w:val="21"/>
        </w:rPr>
      </w:pPr>
    </w:p>
    <w:p w:rsidR="00917FEC" w:rsidRPr="009C1EBA" w:rsidRDefault="00917FEC">
      <w:pPr>
        <w:pStyle w:val="Standard"/>
        <w:spacing w:before="40" w:after="0" w:line="240" w:lineRule="auto"/>
        <w:jc w:val="center"/>
        <w:textAlignment w:val="top"/>
        <w:rPr>
          <w:sz w:val="21"/>
          <w:szCs w:val="21"/>
        </w:rPr>
      </w:pPr>
    </w:p>
    <w:p w:rsidR="00917FEC" w:rsidRPr="009C1EBA" w:rsidRDefault="00A91522">
      <w:pPr>
        <w:pStyle w:val="Standard"/>
        <w:spacing w:before="40" w:after="0" w:line="240" w:lineRule="auto"/>
        <w:jc w:val="center"/>
        <w:textAlignment w:val="top"/>
      </w:pPr>
      <w:r w:rsidRPr="009C1EBA">
        <w:rPr>
          <w:noProof/>
          <w:sz w:val="21"/>
          <w:szCs w:val="21"/>
          <w:lang w:eastAsia="it-IT"/>
        </w:rPr>
        <w:drawing>
          <wp:inline distT="0" distB="0" distL="0" distR="0">
            <wp:extent cx="3294363" cy="2463119"/>
            <wp:effectExtent l="0" t="0" r="1287" b="0"/>
            <wp:docPr id="4"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l="-2" t="-3" r="-2" b="-3"/>
                    <a:stretch>
                      <a:fillRect/>
                    </a:stretch>
                  </pic:blipFill>
                  <pic:spPr>
                    <a:xfrm>
                      <a:off x="0" y="0"/>
                      <a:ext cx="3294363" cy="2463119"/>
                    </a:xfrm>
                    <a:prstGeom prst="rect">
                      <a:avLst/>
                    </a:prstGeom>
                    <a:noFill/>
                    <a:ln>
                      <a:noFill/>
                      <a:prstDash/>
                    </a:ln>
                  </pic:spPr>
                </pic:pic>
              </a:graphicData>
            </a:graphic>
          </wp:inline>
        </w:drawing>
      </w:r>
    </w:p>
    <w:p w:rsidR="00917FEC"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Nel processo di costruzione del presente Piano si è tenuto conto della suddetta analisi, ma anche delle risultanze dell’ordinaria vigilanza sui possibili fenomeni corruttivi. Nel corso dei monitoraggi sinora effettuati nell’Ente non sono emerse irregolarità attinenti al fenomeno corruttivo e non sono state irrogate sanzioni. Si può quindi fondatamente ritenere che il contesto interno è sano e non genera particolari preoccupazioni</w:t>
      </w:r>
    </w:p>
    <w:p w:rsidR="00917FEC" w:rsidRPr="009C1EBA" w:rsidRDefault="00A91522">
      <w:pPr>
        <w:pStyle w:val="Titolo2"/>
      </w:pPr>
      <w:bookmarkStart w:id="3" w:name="__RefHeading___Toc1944_761212699"/>
      <w:r w:rsidRPr="009C1EBA">
        <w:rPr>
          <w:rFonts w:ascii="Arial" w:hAnsi="Arial" w:cs="Arial"/>
          <w:i w:val="0"/>
          <w:sz w:val="21"/>
          <w:szCs w:val="21"/>
        </w:rPr>
        <w:lastRenderedPageBreak/>
        <w:t>2.1. LA STRUTTURA ORGANIZZATIVA</w:t>
      </w:r>
      <w:bookmarkEnd w:id="3"/>
    </w:p>
    <w:p w:rsidR="00917FEC" w:rsidRPr="009C1EBA" w:rsidRDefault="00A91522">
      <w:pPr>
        <w:pStyle w:val="Corpodeltesto2"/>
        <w:spacing w:before="100"/>
      </w:pPr>
      <w:r w:rsidRPr="009C1EBA">
        <w:rPr>
          <w:rFonts w:ascii="Arial" w:hAnsi="Arial" w:cs="Arial"/>
          <w:sz w:val="21"/>
          <w:szCs w:val="21"/>
        </w:rPr>
        <w:t xml:space="preserve">L’attuale struttura organizzativa del Comune si articola in </w:t>
      </w:r>
      <w:r w:rsidR="004B1BEB" w:rsidRPr="009C1EBA">
        <w:rPr>
          <w:rFonts w:ascii="Arial" w:hAnsi="Arial" w:cs="Arial"/>
          <w:sz w:val="21"/>
          <w:szCs w:val="21"/>
        </w:rPr>
        <w:t>servizi</w:t>
      </w:r>
      <w:r w:rsidRPr="009C1EBA">
        <w:rPr>
          <w:rFonts w:ascii="Arial" w:hAnsi="Arial" w:cs="Arial"/>
          <w:sz w:val="21"/>
          <w:szCs w:val="21"/>
        </w:rPr>
        <w:t xml:space="preserve"> che sono unità operative costituite sulla base dell'omogeneità dei servizi erogati e dei processi gestiti o delle competenze.</w:t>
      </w:r>
    </w:p>
    <w:p w:rsidR="00917FEC" w:rsidRPr="009C1EBA" w:rsidRDefault="00A91522">
      <w:pPr>
        <w:pStyle w:val="Corpodeltesto2"/>
        <w:spacing w:before="100"/>
        <w:rPr>
          <w:rFonts w:ascii="Arial" w:hAnsi="Arial" w:cs="Arial"/>
          <w:sz w:val="21"/>
          <w:szCs w:val="21"/>
        </w:rPr>
      </w:pPr>
      <w:r w:rsidRPr="009C1EBA">
        <w:rPr>
          <w:rFonts w:ascii="Arial" w:hAnsi="Arial" w:cs="Arial"/>
          <w:sz w:val="21"/>
          <w:szCs w:val="21"/>
        </w:rPr>
        <w:t>L’articolazione dei Servizi è così definita:</w:t>
      </w:r>
    </w:p>
    <w:p w:rsidR="00917FEC" w:rsidRPr="009C1EBA" w:rsidRDefault="00A91522">
      <w:pPr>
        <w:pStyle w:val="Corpodeltesto2"/>
        <w:spacing w:before="100"/>
        <w:rPr>
          <w:rFonts w:ascii="Arial" w:hAnsi="Arial" w:cs="Arial"/>
          <w:i/>
          <w:sz w:val="21"/>
          <w:szCs w:val="21"/>
        </w:rPr>
      </w:pPr>
      <w:r w:rsidRPr="009C1EBA">
        <w:rPr>
          <w:rFonts w:ascii="Arial" w:hAnsi="Arial" w:cs="Arial"/>
          <w:i/>
          <w:sz w:val="21"/>
          <w:szCs w:val="21"/>
        </w:rPr>
        <w:t>parte politica:</w:t>
      </w:r>
    </w:p>
    <w:p w:rsidR="00917FEC" w:rsidRPr="009C1EBA" w:rsidRDefault="00A91522">
      <w:pPr>
        <w:pStyle w:val="Corpodeltesto2"/>
        <w:spacing w:before="120"/>
        <w:rPr>
          <w:rFonts w:ascii="Arial" w:hAnsi="Arial" w:cs="Arial"/>
          <w:b/>
          <w:sz w:val="21"/>
          <w:szCs w:val="21"/>
          <w:u w:val="single"/>
        </w:rPr>
      </w:pPr>
      <w:r w:rsidRPr="009C1EBA">
        <w:rPr>
          <w:rFonts w:ascii="Arial" w:hAnsi="Arial" w:cs="Arial"/>
          <w:b/>
          <w:sz w:val="21"/>
          <w:szCs w:val="21"/>
          <w:u w:val="single"/>
        </w:rPr>
        <w:t>Sindaco</w:t>
      </w:r>
    </w:p>
    <w:p w:rsidR="00917FEC" w:rsidRPr="009C1EBA" w:rsidRDefault="004B1BEB">
      <w:pPr>
        <w:pStyle w:val="Corpodeltesto2"/>
        <w:rPr>
          <w:rFonts w:ascii="Arial" w:hAnsi="Arial" w:cs="Arial"/>
          <w:sz w:val="21"/>
          <w:szCs w:val="21"/>
        </w:rPr>
      </w:pPr>
      <w:r w:rsidRPr="009C1EBA">
        <w:rPr>
          <w:rFonts w:ascii="Arial" w:hAnsi="Arial" w:cs="Arial"/>
          <w:sz w:val="21"/>
          <w:szCs w:val="21"/>
        </w:rPr>
        <w:t>Buffa Angelo</w:t>
      </w:r>
    </w:p>
    <w:p w:rsidR="00917FEC" w:rsidRPr="009C1EBA" w:rsidRDefault="00A91522">
      <w:pPr>
        <w:pStyle w:val="Corpodeltesto2"/>
        <w:spacing w:before="120"/>
        <w:rPr>
          <w:rFonts w:ascii="Arial" w:hAnsi="Arial" w:cs="Arial"/>
          <w:b/>
          <w:sz w:val="21"/>
          <w:szCs w:val="21"/>
          <w:u w:val="single"/>
        </w:rPr>
      </w:pPr>
      <w:r w:rsidRPr="009C1EBA">
        <w:rPr>
          <w:rFonts w:ascii="Arial" w:hAnsi="Arial" w:cs="Arial"/>
          <w:b/>
          <w:sz w:val="21"/>
          <w:szCs w:val="21"/>
          <w:u w:val="single"/>
        </w:rPr>
        <w:t>Consiglio Comunale</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Biasion Mattia</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 xml:space="preserve">Busana Cesare </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 xml:space="preserve">Casata Gino </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 xml:space="preserve">Ceccato Ferdinando </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Dorigato Alessandra</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 xml:space="preserve">Locatelli Ugo </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Mezzanotte Andrea</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Mezzanotte Mirco</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 xml:space="preserve">Molinari Giuliano </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Pasquazzo Luca</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Tessaro Annalisa</w:t>
      </w:r>
    </w:p>
    <w:p w:rsidR="004B1BEB" w:rsidRPr="009C1EBA" w:rsidRDefault="004B1BEB" w:rsidP="004B1BEB">
      <w:pPr>
        <w:pStyle w:val="Corpodeltesto2"/>
        <w:rPr>
          <w:rFonts w:ascii="Arial" w:hAnsi="Arial" w:cs="Arial"/>
          <w:sz w:val="21"/>
          <w:szCs w:val="21"/>
        </w:rPr>
      </w:pPr>
    </w:p>
    <w:p w:rsidR="00917FEC" w:rsidRPr="009C1EBA" w:rsidRDefault="00A91522">
      <w:pPr>
        <w:pStyle w:val="Corpodeltesto2"/>
        <w:spacing w:before="120"/>
        <w:rPr>
          <w:rFonts w:ascii="Arial" w:hAnsi="Arial" w:cs="Arial"/>
          <w:b/>
          <w:sz w:val="21"/>
          <w:szCs w:val="21"/>
          <w:u w:val="single"/>
        </w:rPr>
      </w:pPr>
      <w:r w:rsidRPr="009C1EBA">
        <w:rPr>
          <w:rFonts w:ascii="Arial" w:hAnsi="Arial" w:cs="Arial"/>
          <w:b/>
          <w:sz w:val="21"/>
          <w:szCs w:val="21"/>
          <w:u w:val="single"/>
        </w:rPr>
        <w:t>Giunta Comunale</w:t>
      </w:r>
    </w:p>
    <w:p w:rsidR="00D46219" w:rsidRPr="009C1EBA" w:rsidRDefault="00D46219" w:rsidP="004B1BEB">
      <w:pPr>
        <w:pStyle w:val="Corpodeltesto2"/>
        <w:rPr>
          <w:rFonts w:ascii="Arial" w:hAnsi="Arial" w:cs="Arial"/>
          <w:sz w:val="21"/>
          <w:szCs w:val="21"/>
        </w:rPr>
      </w:pPr>
      <w:r w:rsidRPr="009C1EBA">
        <w:rPr>
          <w:rFonts w:ascii="Arial" w:hAnsi="Arial" w:cs="Arial"/>
          <w:sz w:val="21"/>
          <w:szCs w:val="21"/>
        </w:rPr>
        <w:t>Buffa Angelo</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Dorigato Alessandra</w:t>
      </w:r>
    </w:p>
    <w:p w:rsidR="004B1BEB" w:rsidRPr="009C1EBA" w:rsidRDefault="004B1BEB" w:rsidP="004B1BEB">
      <w:pPr>
        <w:pStyle w:val="Corpodeltesto2"/>
        <w:rPr>
          <w:rFonts w:ascii="Arial" w:hAnsi="Arial" w:cs="Arial"/>
          <w:sz w:val="21"/>
          <w:szCs w:val="21"/>
        </w:rPr>
      </w:pPr>
      <w:r w:rsidRPr="009C1EBA">
        <w:rPr>
          <w:rFonts w:ascii="Arial" w:hAnsi="Arial" w:cs="Arial" w:hint="eastAsia"/>
          <w:sz w:val="21"/>
          <w:szCs w:val="21"/>
        </w:rPr>
        <w:t>Mezzanotte Mirco</w:t>
      </w:r>
    </w:p>
    <w:p w:rsidR="00917FEC" w:rsidRPr="009C1EBA" w:rsidRDefault="00917FEC">
      <w:pPr>
        <w:pStyle w:val="Corpodeltesto2"/>
        <w:tabs>
          <w:tab w:val="left" w:pos="142"/>
          <w:tab w:val="left" w:pos="923"/>
          <w:tab w:val="left" w:pos="1206"/>
        </w:tabs>
        <w:rPr>
          <w:rFonts w:ascii="Arial" w:hAnsi="Arial" w:cs="Arial"/>
          <w:sz w:val="21"/>
          <w:szCs w:val="21"/>
        </w:rPr>
      </w:pPr>
    </w:p>
    <w:p w:rsidR="004B1BEB" w:rsidRDefault="00D46219">
      <w:pPr>
        <w:pStyle w:val="Corpodeltesto2"/>
        <w:spacing w:before="100"/>
        <w:rPr>
          <w:rFonts w:ascii="Arial" w:hAnsi="Arial" w:cs="Arial"/>
          <w:i/>
          <w:sz w:val="21"/>
          <w:szCs w:val="21"/>
        </w:rPr>
      </w:pPr>
      <w:r w:rsidRPr="009C1EBA">
        <w:rPr>
          <w:rFonts w:ascii="Arial" w:hAnsi="Arial" w:cs="Arial"/>
          <w:i/>
          <w:sz w:val="21"/>
          <w:szCs w:val="21"/>
        </w:rPr>
        <w:t>p</w:t>
      </w:r>
      <w:r w:rsidR="00A91522" w:rsidRPr="009C1EBA">
        <w:rPr>
          <w:rFonts w:ascii="Arial" w:hAnsi="Arial" w:cs="Arial"/>
          <w:i/>
          <w:sz w:val="21"/>
          <w:szCs w:val="21"/>
        </w:rPr>
        <w:t xml:space="preserve">arte </w:t>
      </w:r>
      <w:r w:rsidR="00A91522" w:rsidRPr="009C1EBA">
        <w:rPr>
          <w:rFonts w:ascii="Arial" w:hAnsi="Arial" w:cs="Arial"/>
          <w:b/>
          <w:bCs/>
          <w:i/>
          <w:sz w:val="21"/>
          <w:szCs w:val="21"/>
        </w:rPr>
        <w:t>gestionale</w:t>
      </w:r>
      <w:r w:rsidR="00A91522" w:rsidRPr="009C1EBA">
        <w:rPr>
          <w:rFonts w:ascii="Arial" w:hAnsi="Arial" w:cs="Arial"/>
          <w:i/>
          <w:sz w:val="21"/>
          <w:szCs w:val="21"/>
        </w:rPr>
        <w:t xml:space="preserve"> </w:t>
      </w:r>
    </w:p>
    <w:p w:rsidR="00BF0B20" w:rsidRDefault="00BF0B20">
      <w:pPr>
        <w:pStyle w:val="Corpodeltesto2"/>
        <w:ind w:left="567"/>
        <w:rPr>
          <w:rFonts w:ascii="Arial" w:hAnsi="Arial" w:cs="Arial"/>
          <w:sz w:val="21"/>
          <w:szCs w:val="21"/>
        </w:rPr>
      </w:pPr>
      <w:r>
        <w:rPr>
          <w:rFonts w:ascii="Arial" w:hAnsi="Arial" w:cs="Arial"/>
          <w:noProof/>
          <w:sz w:val="21"/>
          <w:szCs w:val="21"/>
          <w:lang w:eastAsia="it-IT"/>
        </w:rPr>
        <w:drawing>
          <wp:inline distT="0" distB="0" distL="0" distR="0" wp14:anchorId="1E2FE005" wp14:editId="2DB1DE28">
            <wp:extent cx="5217795" cy="3931920"/>
            <wp:effectExtent l="0" t="0" r="20955" b="0"/>
            <wp:docPr id="10" name="Diagram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F0B20" w:rsidRPr="009C1EBA" w:rsidRDefault="00BF0B20" w:rsidP="00BF0B20">
      <w:pPr>
        <w:pStyle w:val="Corpodeltesto2"/>
        <w:spacing w:before="100"/>
      </w:pPr>
      <w:r w:rsidRPr="009C1EBA">
        <w:rPr>
          <w:rFonts w:ascii="Arial" w:hAnsi="Arial" w:cs="Arial"/>
          <w:b/>
          <w:sz w:val="21"/>
          <w:szCs w:val="21"/>
          <w:u w:val="single"/>
        </w:rPr>
        <w:lastRenderedPageBreak/>
        <w:t>Segretario Comunale</w:t>
      </w:r>
      <w:r w:rsidRPr="009C1EBA">
        <w:rPr>
          <w:rFonts w:ascii="Arial" w:hAnsi="Arial" w:cs="Arial"/>
          <w:sz w:val="21"/>
          <w:szCs w:val="21"/>
        </w:rPr>
        <w:t>: Zampedri dott. Bruno</w:t>
      </w:r>
    </w:p>
    <w:p w:rsidR="00BF0B20" w:rsidRPr="009C1EBA" w:rsidRDefault="00BF0B20" w:rsidP="00BF0B20">
      <w:pPr>
        <w:pStyle w:val="Corpodeltesto2"/>
        <w:spacing w:before="120"/>
      </w:pPr>
      <w:r w:rsidRPr="009C1EBA">
        <w:rPr>
          <w:rFonts w:ascii="Arial" w:hAnsi="Arial" w:cs="Arial"/>
          <w:b/>
          <w:i/>
          <w:sz w:val="21"/>
          <w:szCs w:val="21"/>
          <w:u w:val="single"/>
        </w:rPr>
        <w:t>Servizio Segreteria</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Responsabile</w:t>
      </w:r>
    </w:p>
    <w:p w:rsidR="00BF0B20" w:rsidRPr="009C1EBA" w:rsidRDefault="00BF0B20" w:rsidP="00BF0B20">
      <w:pPr>
        <w:pStyle w:val="Corpodeltesto2"/>
        <w:tabs>
          <w:tab w:val="left" w:pos="142"/>
          <w:tab w:val="left" w:pos="923"/>
          <w:tab w:val="left" w:pos="1206"/>
        </w:tabs>
        <w:rPr>
          <w:rFonts w:ascii="Arial" w:hAnsi="Arial" w:cs="Arial"/>
          <w:sz w:val="21"/>
          <w:szCs w:val="21"/>
        </w:rPr>
      </w:pPr>
      <w:r w:rsidRPr="009C1EBA">
        <w:rPr>
          <w:rFonts w:ascii="Arial" w:hAnsi="Arial" w:cs="Arial"/>
          <w:sz w:val="21"/>
          <w:szCs w:val="21"/>
        </w:rPr>
        <w:t>Zampedri dott. Bruno</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Personale assegnato: collaboratore amministrativo Oss Sergio</w:t>
      </w:r>
    </w:p>
    <w:p w:rsidR="00BF0B20" w:rsidRPr="009C1EBA" w:rsidRDefault="00BF0B20" w:rsidP="00BF0B20">
      <w:pPr>
        <w:pStyle w:val="Corpodeltesto2"/>
        <w:tabs>
          <w:tab w:val="left" w:pos="142"/>
          <w:tab w:val="left" w:pos="923"/>
          <w:tab w:val="left" w:pos="1206"/>
        </w:tabs>
        <w:rPr>
          <w:rFonts w:ascii="Arial" w:hAnsi="Arial" w:cs="Arial"/>
          <w:sz w:val="21"/>
          <w:szCs w:val="21"/>
        </w:rPr>
      </w:pPr>
    </w:p>
    <w:p w:rsidR="00BF0B20" w:rsidRPr="009C1EBA" w:rsidRDefault="00BF0B20" w:rsidP="00BF0B20">
      <w:pPr>
        <w:pStyle w:val="Corpodeltesto2"/>
        <w:spacing w:before="120"/>
      </w:pPr>
      <w:r w:rsidRPr="009C1EBA">
        <w:rPr>
          <w:rFonts w:ascii="Arial" w:hAnsi="Arial" w:cs="Arial"/>
          <w:b/>
          <w:i/>
          <w:sz w:val="21"/>
          <w:szCs w:val="21"/>
          <w:u w:val="single"/>
        </w:rPr>
        <w:t>Servizio Finanziario</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Responsabile</w:t>
      </w:r>
    </w:p>
    <w:p w:rsidR="00BF0B20" w:rsidRPr="009C1EBA" w:rsidRDefault="00BF0B20" w:rsidP="00BF0B20">
      <w:pPr>
        <w:pStyle w:val="Corpodeltesto2"/>
        <w:tabs>
          <w:tab w:val="left" w:pos="142"/>
          <w:tab w:val="left" w:pos="923"/>
          <w:tab w:val="left" w:pos="1206"/>
        </w:tabs>
        <w:rPr>
          <w:rFonts w:ascii="Arial" w:hAnsi="Arial" w:cs="Arial"/>
          <w:sz w:val="21"/>
          <w:szCs w:val="21"/>
        </w:rPr>
      </w:pPr>
      <w:r w:rsidRPr="009C1EBA">
        <w:rPr>
          <w:rFonts w:ascii="Arial" w:hAnsi="Arial" w:cs="Arial"/>
          <w:sz w:val="21"/>
          <w:szCs w:val="21"/>
        </w:rPr>
        <w:t>Cesca rag. Nadia</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Personale assegnato: ***</w:t>
      </w:r>
    </w:p>
    <w:p w:rsidR="00BF0B20" w:rsidRPr="009C1EBA" w:rsidRDefault="00BF0B20" w:rsidP="00BF0B20">
      <w:pPr>
        <w:pStyle w:val="Corpodeltesto2"/>
        <w:tabs>
          <w:tab w:val="left" w:pos="142"/>
          <w:tab w:val="left" w:pos="923"/>
          <w:tab w:val="left" w:pos="1206"/>
        </w:tabs>
        <w:rPr>
          <w:rFonts w:ascii="Arial" w:hAnsi="Arial" w:cs="Arial"/>
          <w:sz w:val="21"/>
          <w:szCs w:val="21"/>
        </w:rPr>
      </w:pPr>
    </w:p>
    <w:p w:rsidR="00BF0B20" w:rsidRPr="009C1EBA" w:rsidRDefault="00BF0B20" w:rsidP="00BF0B20">
      <w:pPr>
        <w:pStyle w:val="Corpodeltesto2"/>
        <w:spacing w:before="120"/>
      </w:pPr>
      <w:r w:rsidRPr="009C1EBA">
        <w:rPr>
          <w:rFonts w:ascii="Arial" w:hAnsi="Arial" w:cs="Arial"/>
          <w:b/>
          <w:i/>
          <w:sz w:val="21"/>
          <w:szCs w:val="21"/>
          <w:u w:val="single"/>
        </w:rPr>
        <w:t>Servizio Tecnico</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Responsabile</w:t>
      </w:r>
    </w:p>
    <w:p w:rsidR="00BF0B20" w:rsidRPr="009C1EBA" w:rsidRDefault="00BF0B20" w:rsidP="00BF0B20">
      <w:pPr>
        <w:pStyle w:val="Corpodeltesto2"/>
        <w:tabs>
          <w:tab w:val="left" w:pos="142"/>
          <w:tab w:val="left" w:pos="923"/>
          <w:tab w:val="left" w:pos="1206"/>
        </w:tabs>
        <w:rPr>
          <w:rFonts w:ascii="Arial" w:hAnsi="Arial" w:cs="Arial"/>
          <w:sz w:val="21"/>
          <w:szCs w:val="21"/>
        </w:rPr>
      </w:pPr>
      <w:r w:rsidRPr="009C1EBA">
        <w:rPr>
          <w:rFonts w:ascii="Arial" w:hAnsi="Arial" w:cs="Arial"/>
          <w:sz w:val="21"/>
          <w:szCs w:val="21"/>
        </w:rPr>
        <w:t>Agnolo geom. Giulia</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Personale assegnato: ***</w:t>
      </w:r>
    </w:p>
    <w:p w:rsidR="00BF0B20" w:rsidRPr="009C1EBA" w:rsidRDefault="00BF0B20" w:rsidP="00BF0B20">
      <w:pPr>
        <w:pStyle w:val="Corpodeltesto2"/>
        <w:ind w:left="567"/>
        <w:rPr>
          <w:rFonts w:ascii="Arial" w:hAnsi="Arial" w:cs="Arial"/>
          <w:sz w:val="21"/>
          <w:szCs w:val="21"/>
        </w:rPr>
      </w:pPr>
    </w:p>
    <w:p w:rsidR="00BF0B20" w:rsidRPr="009C1EBA" w:rsidRDefault="00BF0B20" w:rsidP="00BF0B20">
      <w:pPr>
        <w:pStyle w:val="Corpodeltesto2"/>
        <w:spacing w:before="120"/>
      </w:pPr>
      <w:r w:rsidRPr="009C1EBA">
        <w:rPr>
          <w:rFonts w:ascii="Arial" w:hAnsi="Arial" w:cs="Arial"/>
          <w:b/>
          <w:i/>
          <w:sz w:val="21"/>
          <w:szCs w:val="21"/>
          <w:u w:val="single"/>
        </w:rPr>
        <w:t>Servizio Demografico ed alla persona</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Responsabile</w:t>
      </w:r>
    </w:p>
    <w:p w:rsidR="00BF0B20" w:rsidRPr="009C1EBA" w:rsidRDefault="00BF0B20" w:rsidP="00BF0B20">
      <w:pPr>
        <w:pStyle w:val="Corpodeltesto2"/>
        <w:tabs>
          <w:tab w:val="left" w:pos="142"/>
          <w:tab w:val="left" w:pos="923"/>
          <w:tab w:val="left" w:pos="1206"/>
        </w:tabs>
        <w:rPr>
          <w:rFonts w:ascii="Arial" w:hAnsi="Arial" w:cs="Arial"/>
          <w:sz w:val="21"/>
          <w:szCs w:val="21"/>
        </w:rPr>
      </w:pPr>
      <w:r w:rsidRPr="009C1EBA">
        <w:rPr>
          <w:rFonts w:ascii="Arial" w:hAnsi="Arial" w:cs="Arial"/>
          <w:sz w:val="21"/>
          <w:szCs w:val="21"/>
        </w:rPr>
        <w:t>Oss Sergio</w:t>
      </w:r>
    </w:p>
    <w:p w:rsidR="00BF0B20" w:rsidRPr="009C1EBA" w:rsidRDefault="00BF0B20" w:rsidP="00BF0B20">
      <w:pPr>
        <w:pStyle w:val="Corpodeltesto2"/>
        <w:rPr>
          <w:rFonts w:ascii="Arial" w:hAnsi="Arial" w:cs="Arial"/>
          <w:sz w:val="21"/>
          <w:szCs w:val="21"/>
        </w:rPr>
      </w:pPr>
      <w:r w:rsidRPr="009C1EBA">
        <w:rPr>
          <w:rFonts w:ascii="Arial" w:hAnsi="Arial" w:cs="Arial"/>
          <w:sz w:val="21"/>
          <w:szCs w:val="21"/>
        </w:rPr>
        <w:t>Personale assegnato: ***</w:t>
      </w:r>
    </w:p>
    <w:p w:rsidR="00BF0B20" w:rsidRPr="009C1EBA" w:rsidRDefault="00BF0B20">
      <w:pPr>
        <w:pStyle w:val="Corpodeltesto2"/>
        <w:ind w:left="567"/>
        <w:rPr>
          <w:rFonts w:ascii="Arial" w:hAnsi="Arial" w:cs="Arial"/>
          <w:sz w:val="21"/>
          <w:szCs w:val="21"/>
        </w:rPr>
      </w:pPr>
    </w:p>
    <w:p w:rsidR="00BA2799" w:rsidRPr="009C1EBA" w:rsidRDefault="00A91522">
      <w:pPr>
        <w:pStyle w:val="Standard"/>
        <w:spacing w:before="100" w:after="0" w:line="240" w:lineRule="auto"/>
        <w:jc w:val="both"/>
        <w:textAlignment w:val="top"/>
        <w:rPr>
          <w:rFonts w:ascii="Arial" w:hAnsi="Arial" w:cs="Arial"/>
          <w:sz w:val="21"/>
          <w:szCs w:val="21"/>
        </w:rPr>
      </w:pPr>
      <w:r w:rsidRPr="009C1EBA">
        <w:rPr>
          <w:rFonts w:ascii="Arial" w:hAnsi="Arial" w:cs="Arial"/>
          <w:sz w:val="21"/>
          <w:szCs w:val="21"/>
        </w:rPr>
        <w:t>Ai sensi della delibera 831 del 03.08.2016 di ANAC si segnala che il ruolo di RASA (soggetto responsabile dell’inserimento e dell’aggiornamento annuale degli elementi identificativi della stazione appaltante stessa) del Comune è stato ass</w:t>
      </w:r>
      <w:r w:rsidR="00BA2799" w:rsidRPr="009C1EBA">
        <w:rPr>
          <w:rFonts w:ascii="Arial" w:hAnsi="Arial" w:cs="Arial"/>
          <w:sz w:val="21"/>
          <w:szCs w:val="21"/>
        </w:rPr>
        <w:t>unto direttamente dal RPCT.</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 xml:space="preserve">Si rappresenta che il presente Piano prende in considerazione esclusivamente i processi critici direttamente gestiti. </w:t>
      </w:r>
    </w:p>
    <w:p w:rsidR="00917FEC" w:rsidRPr="009C1EBA" w:rsidRDefault="004B1BEB">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V</w:t>
      </w:r>
      <w:r w:rsidR="00A91522" w:rsidRPr="009C1EBA">
        <w:rPr>
          <w:rFonts w:ascii="Arial" w:eastAsia="Calibri" w:hAnsi="Arial" w:cs="Arial"/>
          <w:sz w:val="21"/>
          <w:szCs w:val="21"/>
          <w:lang w:eastAsia="en-US"/>
        </w:rPr>
        <w:t xml:space="preserve">i sono </w:t>
      </w:r>
      <w:r w:rsidRPr="009C1EBA">
        <w:rPr>
          <w:rFonts w:ascii="Arial" w:eastAsia="Calibri" w:hAnsi="Arial" w:cs="Arial"/>
          <w:sz w:val="21"/>
          <w:szCs w:val="21"/>
          <w:lang w:eastAsia="en-US"/>
        </w:rPr>
        <w:t xml:space="preserve">due </w:t>
      </w:r>
      <w:r w:rsidR="00A91522" w:rsidRPr="009C1EBA">
        <w:rPr>
          <w:rFonts w:ascii="Arial" w:eastAsia="Calibri" w:hAnsi="Arial" w:cs="Arial"/>
          <w:sz w:val="21"/>
          <w:szCs w:val="21"/>
          <w:lang w:eastAsia="en-US"/>
        </w:rPr>
        <w:t>servizi resi in gestione associata, della cui organizzazione risponde altro Comune capofila</w:t>
      </w:r>
      <w:r w:rsidRPr="009C1EBA">
        <w:rPr>
          <w:rFonts w:ascii="Arial" w:eastAsia="Calibri" w:hAnsi="Arial" w:cs="Arial"/>
          <w:sz w:val="21"/>
          <w:szCs w:val="21"/>
          <w:lang w:eastAsia="en-US"/>
        </w:rPr>
        <w:t xml:space="preserve"> e precisamente il Servizio Segreteria ed il Servizio Commercio.</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Sono resi in forma esternalizzata e quindi dell’integrità degli operatori impegnati su tali attività dovrà necessariamente rispondere il soggetto gestore, i seguenti servizi:</w:t>
      </w:r>
    </w:p>
    <w:p w:rsidR="004B1BEB" w:rsidRPr="009C1EBA" w:rsidRDefault="00A91522" w:rsidP="00BA2799">
      <w:pPr>
        <w:pStyle w:val="Standard"/>
        <w:numPr>
          <w:ilvl w:val="0"/>
          <w:numId w:val="32"/>
        </w:numPr>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 xml:space="preserve">servizio scavo fosse cimitero – </w:t>
      </w:r>
      <w:r w:rsidR="004B1BEB" w:rsidRPr="009C1EBA">
        <w:rPr>
          <w:rFonts w:ascii="Arial" w:eastAsia="Calibri" w:hAnsi="Arial" w:cs="Arial"/>
          <w:sz w:val="21"/>
          <w:szCs w:val="21"/>
          <w:lang w:eastAsia="en-US"/>
        </w:rPr>
        <w:t>ditta Linea Momenti di Per</w:t>
      </w:r>
      <w:r w:rsidR="00BA2799" w:rsidRPr="009C1EBA">
        <w:rPr>
          <w:rFonts w:ascii="Arial" w:eastAsia="Calibri" w:hAnsi="Arial" w:cs="Arial"/>
          <w:sz w:val="21"/>
          <w:szCs w:val="21"/>
          <w:lang w:eastAsia="en-US"/>
        </w:rPr>
        <w:t>g</w:t>
      </w:r>
      <w:r w:rsidR="004B1BEB" w:rsidRPr="009C1EBA">
        <w:rPr>
          <w:rFonts w:ascii="Arial" w:eastAsia="Calibri" w:hAnsi="Arial" w:cs="Arial"/>
          <w:sz w:val="21"/>
          <w:szCs w:val="21"/>
          <w:lang w:eastAsia="en-US"/>
        </w:rPr>
        <w:t>ine Valsugana</w:t>
      </w:r>
    </w:p>
    <w:p w:rsidR="00917FEC" w:rsidRPr="009C1EBA" w:rsidRDefault="00A91522" w:rsidP="00BA2799">
      <w:pPr>
        <w:pStyle w:val="Standard"/>
        <w:numPr>
          <w:ilvl w:val="0"/>
          <w:numId w:val="32"/>
        </w:numPr>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 xml:space="preserve">servizio raccolta, trasporto e smaltimento rifiuti solidi urbani e speciali – Comunità di Valle Valsugana e Tesino </w:t>
      </w:r>
    </w:p>
    <w:p w:rsidR="00917FEC" w:rsidRPr="009C1EBA" w:rsidRDefault="00917FEC">
      <w:pPr>
        <w:pStyle w:val="Standard"/>
        <w:spacing w:before="100" w:after="0" w:line="240" w:lineRule="auto"/>
        <w:rPr>
          <w:rFonts w:ascii="Arial" w:eastAsia="Calibri" w:hAnsi="Arial" w:cs="Arial"/>
          <w:sz w:val="21"/>
          <w:szCs w:val="21"/>
          <w:shd w:val="clear" w:color="auto" w:fill="FFFF00"/>
          <w:lang w:eastAsia="en-US"/>
        </w:rPr>
      </w:pPr>
    </w:p>
    <w:p w:rsidR="00917FEC" w:rsidRPr="00BF0B20" w:rsidRDefault="00BF0B20">
      <w:pPr>
        <w:pStyle w:val="Standard"/>
        <w:spacing w:before="100" w:after="0" w:line="240" w:lineRule="auto"/>
        <w:rPr>
          <w:rFonts w:ascii="Arial" w:eastAsia="Calibri" w:hAnsi="Arial" w:cs="Arial"/>
          <w:sz w:val="21"/>
          <w:szCs w:val="21"/>
          <w:u w:val="single"/>
          <w:lang w:eastAsia="en-US"/>
        </w:rPr>
      </w:pPr>
      <w:r w:rsidRPr="00BF0B20">
        <w:rPr>
          <w:rFonts w:ascii="Arial" w:eastAsia="Calibri" w:hAnsi="Arial" w:cs="Arial"/>
          <w:sz w:val="21"/>
          <w:szCs w:val="21"/>
          <w:u w:val="single"/>
          <w:lang w:eastAsia="en-US"/>
        </w:rPr>
        <w:t>S</w:t>
      </w:r>
      <w:r w:rsidR="00A91522" w:rsidRPr="00BF0B20">
        <w:rPr>
          <w:rFonts w:ascii="Arial" w:eastAsia="Calibri" w:hAnsi="Arial" w:cs="Arial"/>
          <w:sz w:val="21"/>
          <w:szCs w:val="21"/>
          <w:u w:val="single"/>
          <w:lang w:eastAsia="en-US"/>
        </w:rPr>
        <w:t>ervizi in gestione associata</w:t>
      </w:r>
    </w:p>
    <w:p w:rsidR="00917FEC" w:rsidRPr="009C1EBA" w:rsidRDefault="00A91522">
      <w:pPr>
        <w:pStyle w:val="Standard"/>
        <w:spacing w:before="100" w:after="0" w:line="240" w:lineRule="auto"/>
        <w:jc w:val="both"/>
        <w:rPr>
          <w:rFonts w:ascii="Arial" w:eastAsia="Calibri" w:hAnsi="Arial" w:cs="Arial"/>
          <w:sz w:val="21"/>
          <w:szCs w:val="21"/>
          <w:lang w:eastAsia="en-US"/>
        </w:rPr>
      </w:pPr>
      <w:r w:rsidRPr="009C1EBA">
        <w:rPr>
          <w:rFonts w:ascii="Arial" w:eastAsia="Calibri" w:hAnsi="Arial" w:cs="Arial"/>
          <w:sz w:val="21"/>
          <w:szCs w:val="21"/>
          <w:lang w:eastAsia="en-US"/>
        </w:rPr>
        <w:t>Per effetto di deliberazioni adottate dal Commissario ad acta in data 27.02.2017, il quale ha approvato uno specifico Progetto per la gestione associata di tutti i servizi svolti dai Comuni di Grigno, Ospedaletto, Bieno, Pieve Tesino, Cinte Tesino e Castello Tesino e n. due Convenzioni attuative, Il Servizio di Segreteria e contratti è gestito attualmente in forma associata. Per effetto di detta Convenzione il Segretario del Comune di Ospedaletto esercita le funzioni di Segretario comunale presso i Comuni di Castello Tesino e di Cinte Tesino. Presso i due Comuni svolge pure le funzioni di responsabile per l’anticorruzione e per la Trasparenza.</w:t>
      </w:r>
    </w:p>
    <w:p w:rsidR="00917FEC" w:rsidRPr="009C1EBA" w:rsidRDefault="00A91522">
      <w:pPr>
        <w:pStyle w:val="Titolo1"/>
        <w:rPr>
          <w:sz w:val="24"/>
          <w:szCs w:val="24"/>
        </w:rPr>
      </w:pPr>
      <w:bookmarkStart w:id="4" w:name="__RefHeading___Toc1946_761212699"/>
      <w:r w:rsidRPr="009C1EBA">
        <w:rPr>
          <w:sz w:val="24"/>
          <w:szCs w:val="24"/>
        </w:rPr>
        <w:t>3. IL SUPPORTO DEL CONSORZIO DEI COMUNI TRENTINI</w:t>
      </w:r>
      <w:bookmarkEnd w:id="4"/>
    </w:p>
    <w:p w:rsidR="00917FEC" w:rsidRPr="009C1EBA" w:rsidRDefault="00A91522">
      <w:pPr>
        <w:pStyle w:val="Standard"/>
        <w:autoSpaceDE w:val="0"/>
        <w:spacing w:before="100" w:after="0" w:line="240" w:lineRule="auto"/>
        <w:jc w:val="both"/>
        <w:rPr>
          <w:rFonts w:ascii="Arial" w:hAnsi="Arial" w:cs="Arial"/>
          <w:sz w:val="21"/>
          <w:szCs w:val="21"/>
        </w:rPr>
      </w:pPr>
      <w:r w:rsidRPr="009C1EBA">
        <w:rPr>
          <w:rFonts w:ascii="Arial" w:hAnsi="Arial" w:cs="Arial"/>
          <w:sz w:val="21"/>
          <w:szCs w:val="21"/>
        </w:rPr>
        <w:t>Per avviare il processo di costruzione del Piano, nonché per il suo monitoraggio, il Comune si è avvalso del supporto di Formazione del Consorzio dei Comuni Trentini, e del tutoraggio dallo stesso garantito. Lungo il percorso assistito è stato possibile affinare e omogeneizzare la metodologia di analisi e gestione dei rischi e di costruzione delle azioni di miglioramento, anche grazie al confronto con realtà omogenee del territorio.</w:t>
      </w:r>
    </w:p>
    <w:p w:rsidR="00917FEC" w:rsidRPr="009C1EBA" w:rsidRDefault="00A91522">
      <w:pPr>
        <w:pStyle w:val="Titolo1"/>
        <w:rPr>
          <w:sz w:val="24"/>
          <w:szCs w:val="24"/>
        </w:rPr>
      </w:pPr>
      <w:bookmarkStart w:id="5" w:name="__RefHeading___Toc1948_761212699"/>
      <w:r w:rsidRPr="009C1EBA">
        <w:rPr>
          <w:sz w:val="24"/>
          <w:szCs w:val="24"/>
        </w:rPr>
        <w:lastRenderedPageBreak/>
        <w:t>4. PRINCIPIO DI DELEGA – OBBLIGO DI COLLABORAZIONE – CORRESPONSABILITÀ</w:t>
      </w:r>
      <w:bookmarkEnd w:id="5"/>
    </w:p>
    <w:p w:rsidR="00917FEC" w:rsidRPr="009C1EBA" w:rsidRDefault="00A91522">
      <w:pPr>
        <w:pStyle w:val="Standard"/>
        <w:widowControl w:val="0"/>
        <w:tabs>
          <w:tab w:val="left" w:pos="447"/>
        </w:tabs>
        <w:autoSpaceDE w:val="0"/>
        <w:spacing w:before="100" w:after="0" w:line="240" w:lineRule="auto"/>
        <w:jc w:val="both"/>
        <w:rPr>
          <w:rFonts w:ascii="Arial" w:hAnsi="Arial" w:cs="Arial"/>
          <w:sz w:val="21"/>
          <w:szCs w:val="21"/>
        </w:rPr>
      </w:pPr>
      <w:r w:rsidRPr="009C1EBA">
        <w:rPr>
          <w:rFonts w:ascii="Arial" w:hAnsi="Arial" w:cs="Arial"/>
          <w:sz w:val="21"/>
          <w:szCs w:val="21"/>
        </w:rPr>
        <w:t>La progettazione del presente Piano, nel rispetto del principio funzionale della delega – prevede il coinvolgimento dei Funzionari con responsabilità organizzativa/direttiva sulle varie strutture dell’Ente. In questa logica si ribadiscono in capo alle figure apicali l’obbligo di collaborazione attiva e la corresponsabilità nella promozione ed adozione di tutte le misure atte a garantire l’integrità dei comportamenti individuali nell’organizzazione.</w:t>
      </w:r>
    </w:p>
    <w:p w:rsidR="00917FEC" w:rsidRPr="009C1EBA" w:rsidRDefault="00A91522">
      <w:pPr>
        <w:pStyle w:val="Standard"/>
        <w:widowControl w:val="0"/>
        <w:tabs>
          <w:tab w:val="left" w:pos="447"/>
        </w:tabs>
        <w:autoSpaceDE w:val="0"/>
        <w:spacing w:before="100" w:after="0" w:line="240" w:lineRule="auto"/>
        <w:jc w:val="both"/>
        <w:rPr>
          <w:rFonts w:ascii="Arial" w:hAnsi="Arial" w:cs="Arial"/>
          <w:sz w:val="21"/>
          <w:szCs w:val="21"/>
        </w:rPr>
      </w:pPr>
      <w:r w:rsidRPr="009C1EBA">
        <w:rPr>
          <w:rFonts w:ascii="Arial" w:hAnsi="Arial" w:cs="Arial"/>
          <w:sz w:val="21"/>
          <w:szCs w:val="21"/>
        </w:rPr>
        <w:t>A questi fini si è provveduto al trasferimento e all’assegnazione, a detti Responsabili, delle seguenti funzioni:</w:t>
      </w:r>
    </w:p>
    <w:p w:rsidR="00917FEC" w:rsidRPr="009C1EBA" w:rsidRDefault="00A91522">
      <w:pPr>
        <w:pStyle w:val="Paragrafoelenco"/>
        <w:widowControl w:val="0"/>
        <w:numPr>
          <w:ilvl w:val="0"/>
          <w:numId w:val="20"/>
        </w:numPr>
        <w:tabs>
          <w:tab w:val="left" w:pos="568"/>
        </w:tabs>
        <w:autoSpaceDE w:val="0"/>
        <w:spacing w:before="100" w:after="0" w:line="240" w:lineRule="auto"/>
        <w:ind w:left="284" w:hanging="284"/>
        <w:jc w:val="both"/>
        <w:rPr>
          <w:rFonts w:ascii="Arial" w:hAnsi="Arial" w:cs="Arial"/>
          <w:sz w:val="21"/>
          <w:szCs w:val="21"/>
        </w:rPr>
      </w:pPr>
      <w:r w:rsidRPr="009C1EBA">
        <w:rPr>
          <w:rFonts w:ascii="Arial" w:hAnsi="Arial" w:cs="Arial"/>
          <w:sz w:val="21"/>
          <w:szCs w:val="21"/>
        </w:rPr>
        <w:t>Collaborazione per l’analisi organizzativa e l’individuazione delle varie criticità;</w:t>
      </w:r>
    </w:p>
    <w:p w:rsidR="00917FEC" w:rsidRPr="009C1EBA" w:rsidRDefault="00A91522">
      <w:pPr>
        <w:pStyle w:val="Paragrafoelenco"/>
        <w:widowControl w:val="0"/>
        <w:numPr>
          <w:ilvl w:val="0"/>
          <w:numId w:val="13"/>
        </w:numPr>
        <w:tabs>
          <w:tab w:val="left" w:pos="568"/>
        </w:tabs>
        <w:autoSpaceDE w:val="0"/>
        <w:spacing w:before="100" w:after="0" w:line="240" w:lineRule="auto"/>
        <w:ind w:left="284" w:hanging="284"/>
        <w:jc w:val="both"/>
        <w:rPr>
          <w:rFonts w:ascii="Arial" w:hAnsi="Arial" w:cs="Arial"/>
          <w:sz w:val="21"/>
          <w:szCs w:val="21"/>
        </w:rPr>
      </w:pPr>
      <w:r w:rsidRPr="009C1EBA">
        <w:rPr>
          <w:rFonts w:ascii="Arial" w:hAnsi="Arial" w:cs="Arial"/>
          <w:sz w:val="21"/>
          <w:szCs w:val="21"/>
        </w:rPr>
        <w:t>Collaborazione per la mappatura dei rischi all’interno delle singole unità organizzative e dei processi gestiti, mediante l’individuazione, la valutazione e la definizione degli indicatori di rischio;</w:t>
      </w:r>
    </w:p>
    <w:p w:rsidR="00917FEC" w:rsidRPr="009C1EBA" w:rsidRDefault="00A91522">
      <w:pPr>
        <w:pStyle w:val="Paragrafoelenco"/>
        <w:widowControl w:val="0"/>
        <w:numPr>
          <w:ilvl w:val="0"/>
          <w:numId w:val="13"/>
        </w:numPr>
        <w:tabs>
          <w:tab w:val="left" w:pos="568"/>
        </w:tabs>
        <w:autoSpaceDE w:val="0"/>
        <w:spacing w:before="100" w:after="0" w:line="240" w:lineRule="auto"/>
        <w:ind w:left="284" w:hanging="284"/>
        <w:jc w:val="both"/>
        <w:rPr>
          <w:rFonts w:ascii="Arial" w:hAnsi="Arial" w:cs="Arial"/>
          <w:sz w:val="21"/>
          <w:szCs w:val="21"/>
        </w:rPr>
      </w:pPr>
      <w:r w:rsidRPr="009C1EBA">
        <w:rPr>
          <w:rFonts w:ascii="Arial" w:hAnsi="Arial" w:cs="Arial"/>
          <w:sz w:val="21"/>
          <w:szCs w:val="21"/>
        </w:rPr>
        <w:t>Progettazione e formalizzazione delle azioni e degli interventi necessari e sufficienti a prevenire la corruzione e i comportamenti non integri da parte dei collaboratori in occasione di lavoro;</w:t>
      </w:r>
    </w:p>
    <w:p w:rsidR="00917FEC" w:rsidRPr="009C1EBA" w:rsidRDefault="00A91522">
      <w:pPr>
        <w:pStyle w:val="Paragrafoelenco"/>
        <w:widowControl w:val="0"/>
        <w:numPr>
          <w:ilvl w:val="0"/>
          <w:numId w:val="13"/>
        </w:numPr>
        <w:tabs>
          <w:tab w:val="left" w:pos="568"/>
        </w:tabs>
        <w:autoSpaceDE w:val="0"/>
        <w:spacing w:before="100" w:after="0" w:line="240" w:lineRule="auto"/>
        <w:ind w:left="284" w:hanging="284"/>
        <w:jc w:val="both"/>
      </w:pPr>
      <w:r w:rsidRPr="009C1EBA">
        <w:rPr>
          <w:rFonts w:ascii="Arial" w:hAnsi="Arial" w:cs="Arial"/>
          <w:sz w:val="21"/>
          <w:szCs w:val="21"/>
        </w:rPr>
        <w:t>Monitoraggio delle azioni previste nel piano dell’anno 2017.</w:t>
      </w:r>
    </w:p>
    <w:p w:rsidR="00917FEC" w:rsidRPr="009C1EBA" w:rsidRDefault="00A91522">
      <w:pPr>
        <w:pStyle w:val="Standard"/>
        <w:widowControl w:val="0"/>
        <w:tabs>
          <w:tab w:val="left" w:pos="447"/>
        </w:tabs>
        <w:autoSpaceDE w:val="0"/>
        <w:spacing w:before="100" w:after="0" w:line="240" w:lineRule="auto"/>
        <w:jc w:val="both"/>
        <w:rPr>
          <w:rFonts w:ascii="Arial" w:hAnsi="Arial" w:cs="Arial"/>
          <w:sz w:val="21"/>
          <w:szCs w:val="21"/>
        </w:rPr>
      </w:pPr>
      <w:r w:rsidRPr="009C1EBA">
        <w:rPr>
          <w:rFonts w:ascii="Arial" w:hAnsi="Arial" w:cs="Arial"/>
          <w:sz w:val="21"/>
          <w:szCs w:val="21"/>
        </w:rPr>
        <w:t>Si assume che attraverso l’introduzione e il potenziamento di regole generali di ordine procedurale, applicabili trasversalmente in tutti i settori, si potranno affrontare e risolvere anche criticità, disfunzioni e sovrapposizioni condizionanti la qualità e l'efficienza operativa dell'Amministrazione.</w:t>
      </w:r>
    </w:p>
    <w:p w:rsidR="00917FEC" w:rsidRPr="009C1EBA" w:rsidRDefault="00917FEC">
      <w:pPr>
        <w:pStyle w:val="Standard"/>
        <w:widowControl w:val="0"/>
        <w:tabs>
          <w:tab w:val="left" w:pos="447"/>
        </w:tabs>
        <w:autoSpaceDE w:val="0"/>
        <w:spacing w:before="100" w:after="0" w:line="240" w:lineRule="auto"/>
        <w:jc w:val="both"/>
        <w:rPr>
          <w:rFonts w:ascii="Arial" w:hAnsi="Arial" w:cs="Arial"/>
          <w:sz w:val="21"/>
          <w:szCs w:val="21"/>
        </w:rPr>
      </w:pPr>
    </w:p>
    <w:p w:rsidR="00917FEC" w:rsidRPr="009C1EBA" w:rsidRDefault="00A91522">
      <w:pPr>
        <w:pStyle w:val="Titolo1"/>
        <w:rPr>
          <w:sz w:val="24"/>
          <w:szCs w:val="24"/>
        </w:rPr>
      </w:pPr>
      <w:bookmarkStart w:id="6" w:name="__RefHeading___Toc1950_761212699"/>
      <w:r w:rsidRPr="009C1EBA">
        <w:rPr>
          <w:sz w:val="24"/>
          <w:szCs w:val="24"/>
        </w:rPr>
        <w:t>5. LA FINALITA’ DEL PIANO</w:t>
      </w:r>
      <w:bookmarkEnd w:id="6"/>
    </w:p>
    <w:p w:rsidR="00917FEC" w:rsidRPr="009C1EBA" w:rsidRDefault="00A91522">
      <w:pPr>
        <w:pStyle w:val="Standard"/>
        <w:widowControl w:val="0"/>
        <w:tabs>
          <w:tab w:val="left" w:pos="447"/>
        </w:tabs>
        <w:autoSpaceDE w:val="0"/>
        <w:spacing w:before="100" w:after="0" w:line="240" w:lineRule="auto"/>
        <w:jc w:val="both"/>
        <w:rPr>
          <w:rFonts w:ascii="Arial" w:hAnsi="Arial" w:cs="Arial"/>
          <w:sz w:val="21"/>
          <w:szCs w:val="21"/>
        </w:rPr>
      </w:pPr>
      <w:r w:rsidRPr="009C1EBA">
        <w:rPr>
          <w:rFonts w:ascii="Arial" w:hAnsi="Arial" w:cs="Arial"/>
          <w:sz w:val="21"/>
          <w:szCs w:val="21"/>
        </w:rPr>
        <w:t>La finalità del presente Piano Anticorruzione è quello di proseguire con il monitoraggio di quanto già avviato a far data dal 2014 per la costruzione, all'interno dell'Amministrazione, di un sistema organico di strumenti per la prevenzione della corruzione.</w:t>
      </w:r>
    </w:p>
    <w:p w:rsidR="00917FEC" w:rsidRPr="009C1EBA" w:rsidRDefault="00A91522">
      <w:pPr>
        <w:pStyle w:val="Standard"/>
        <w:widowControl w:val="0"/>
        <w:tabs>
          <w:tab w:val="left" w:pos="447"/>
        </w:tabs>
        <w:autoSpaceDE w:val="0"/>
        <w:spacing w:before="100" w:after="0" w:line="240" w:lineRule="auto"/>
        <w:jc w:val="both"/>
        <w:rPr>
          <w:rFonts w:ascii="Arial" w:hAnsi="Arial" w:cs="Arial"/>
          <w:sz w:val="21"/>
          <w:szCs w:val="21"/>
        </w:rPr>
      </w:pPr>
      <w:r w:rsidRPr="009C1EBA">
        <w:rPr>
          <w:rFonts w:ascii="Arial" w:hAnsi="Arial" w:cs="Arial"/>
          <w:sz w:val="21"/>
          <w:szCs w:val="21"/>
        </w:rPr>
        <w:t>Tale prevenzione non è indirizzata esclusivamente alle fattispecie di reato previste dal Codice Penale, ma anche a quelle situazioni di rilevanza non criminale, ma comunque atte a evidenziare una disfunzione della Pubblica Amministrazione dovuta all'utilizzo delle funzioni attribuite non per il perseguimento dell'interesse collettivo, bensì di quello privato.</w:t>
      </w:r>
    </w:p>
    <w:p w:rsidR="00917FEC" w:rsidRPr="009C1EBA" w:rsidRDefault="00A91522">
      <w:pPr>
        <w:pStyle w:val="Standard"/>
        <w:widowControl w:val="0"/>
        <w:tabs>
          <w:tab w:val="left" w:pos="447"/>
        </w:tabs>
        <w:autoSpaceDE w:val="0"/>
        <w:spacing w:before="100" w:after="0" w:line="240" w:lineRule="auto"/>
        <w:jc w:val="both"/>
      </w:pPr>
      <w:r w:rsidRPr="009C1EBA">
        <w:rPr>
          <w:rFonts w:ascii="Arial" w:hAnsi="Arial" w:cs="Arial"/>
          <w:sz w:val="21"/>
          <w:szCs w:val="21"/>
        </w:rPr>
        <w:t xml:space="preserve">Come declinato anche dal Piano Nazionale Anticorruzione del </w:t>
      </w:r>
      <w:r w:rsidR="007A5A9B" w:rsidRPr="009C1EBA">
        <w:rPr>
          <w:rFonts w:ascii="Arial" w:hAnsi="Arial" w:cs="Arial"/>
          <w:sz w:val="21"/>
          <w:szCs w:val="21"/>
        </w:rPr>
        <w:t xml:space="preserve">triennio 2014 – 2016 </w:t>
      </w:r>
      <w:r w:rsidRPr="009C1EBA">
        <w:rPr>
          <w:rFonts w:ascii="Arial" w:hAnsi="Arial" w:cs="Arial"/>
          <w:sz w:val="21"/>
          <w:szCs w:val="21"/>
        </w:rPr>
        <w:t>e nei successivi aggiornamenti, i principali obiettivi da perseguire, attraverso idonei interventi, sono:</w:t>
      </w:r>
    </w:p>
    <w:p w:rsidR="00917FEC" w:rsidRPr="009C1EBA" w:rsidRDefault="00A91522">
      <w:pPr>
        <w:pStyle w:val="Standard"/>
        <w:widowControl w:val="0"/>
        <w:tabs>
          <w:tab w:val="left" w:pos="447"/>
        </w:tabs>
        <w:autoSpaceDE w:val="0"/>
        <w:spacing w:after="0" w:line="240" w:lineRule="auto"/>
        <w:jc w:val="both"/>
      </w:pPr>
      <w:r w:rsidRPr="009C1EBA">
        <w:rPr>
          <w:rFonts w:ascii="Arial" w:hAnsi="Arial" w:cs="Arial"/>
          <w:sz w:val="21"/>
          <w:szCs w:val="21"/>
        </w:rPr>
        <w:t>•</w:t>
      </w:r>
      <w:r w:rsidRPr="009C1EBA">
        <w:rPr>
          <w:rFonts w:ascii="Arial" w:eastAsia="Arial" w:hAnsi="Arial" w:cs="Arial"/>
          <w:sz w:val="21"/>
          <w:szCs w:val="21"/>
        </w:rPr>
        <w:t xml:space="preserve"> </w:t>
      </w:r>
      <w:r w:rsidRPr="009C1EBA">
        <w:rPr>
          <w:rFonts w:ascii="Arial" w:hAnsi="Arial" w:cs="Arial"/>
          <w:sz w:val="21"/>
          <w:szCs w:val="21"/>
        </w:rPr>
        <w:t>ridurre le opportunità che si manifestino casi di corruzione;</w:t>
      </w:r>
    </w:p>
    <w:p w:rsidR="00917FEC" w:rsidRPr="009C1EBA" w:rsidRDefault="00A91522">
      <w:pPr>
        <w:pStyle w:val="Standard"/>
        <w:widowControl w:val="0"/>
        <w:tabs>
          <w:tab w:val="left" w:pos="447"/>
        </w:tabs>
        <w:autoSpaceDE w:val="0"/>
        <w:spacing w:after="0" w:line="240" w:lineRule="auto"/>
        <w:jc w:val="both"/>
      </w:pPr>
      <w:r w:rsidRPr="009C1EBA">
        <w:rPr>
          <w:rFonts w:ascii="Arial" w:hAnsi="Arial" w:cs="Arial"/>
          <w:sz w:val="21"/>
          <w:szCs w:val="21"/>
        </w:rPr>
        <w:t>•</w:t>
      </w:r>
      <w:r w:rsidRPr="009C1EBA">
        <w:rPr>
          <w:rFonts w:ascii="Arial" w:eastAsia="Arial" w:hAnsi="Arial" w:cs="Arial"/>
          <w:sz w:val="21"/>
          <w:szCs w:val="21"/>
        </w:rPr>
        <w:t xml:space="preserve"> </w:t>
      </w:r>
      <w:r w:rsidRPr="009C1EBA">
        <w:rPr>
          <w:rFonts w:ascii="Arial" w:hAnsi="Arial" w:cs="Arial"/>
          <w:sz w:val="21"/>
          <w:szCs w:val="21"/>
        </w:rPr>
        <w:t>aumentare la capacità di scoprire casi di corruzione;</w:t>
      </w:r>
    </w:p>
    <w:p w:rsidR="00917FEC" w:rsidRPr="009C1EBA" w:rsidRDefault="00A91522">
      <w:pPr>
        <w:pStyle w:val="Standard"/>
        <w:widowControl w:val="0"/>
        <w:tabs>
          <w:tab w:val="left" w:pos="447"/>
        </w:tabs>
        <w:autoSpaceDE w:val="0"/>
        <w:spacing w:after="0" w:line="240" w:lineRule="auto"/>
        <w:jc w:val="both"/>
      </w:pPr>
      <w:r w:rsidRPr="009C1EBA">
        <w:rPr>
          <w:rFonts w:ascii="Arial" w:hAnsi="Arial" w:cs="Arial"/>
          <w:sz w:val="21"/>
          <w:szCs w:val="21"/>
        </w:rPr>
        <w:t>•</w:t>
      </w:r>
      <w:r w:rsidRPr="009C1EBA">
        <w:rPr>
          <w:rFonts w:ascii="Arial" w:eastAsia="Arial" w:hAnsi="Arial" w:cs="Arial"/>
          <w:sz w:val="21"/>
          <w:szCs w:val="21"/>
        </w:rPr>
        <w:t xml:space="preserve"> </w:t>
      </w:r>
      <w:r w:rsidRPr="009C1EBA">
        <w:rPr>
          <w:rFonts w:ascii="Arial" w:hAnsi="Arial" w:cs="Arial"/>
          <w:sz w:val="21"/>
          <w:szCs w:val="21"/>
        </w:rPr>
        <w:t>creare un contesto sfavorevole alla corruzione.</w:t>
      </w:r>
    </w:p>
    <w:p w:rsidR="00917FEC" w:rsidRPr="009C1EBA" w:rsidRDefault="00917FEC">
      <w:pPr>
        <w:pStyle w:val="Standard"/>
        <w:rPr>
          <w:rFonts w:ascii="Arial" w:hAnsi="Arial" w:cs="Arial"/>
          <w:sz w:val="21"/>
          <w:szCs w:val="21"/>
        </w:rPr>
      </w:pPr>
    </w:p>
    <w:p w:rsidR="00917FEC" w:rsidRPr="009C1EBA" w:rsidRDefault="00A91522">
      <w:pPr>
        <w:pStyle w:val="Titolo1"/>
        <w:rPr>
          <w:sz w:val="24"/>
          <w:szCs w:val="24"/>
        </w:rPr>
      </w:pPr>
      <w:bookmarkStart w:id="7" w:name="__RefHeading___Toc1952_761212699"/>
      <w:r w:rsidRPr="009C1EBA">
        <w:rPr>
          <w:sz w:val="24"/>
          <w:szCs w:val="24"/>
        </w:rPr>
        <w:t>6. L’APPROCCIO METODOLOGICO ADOTTATO PER LA COSTRUZIONE DEL PIANO</w:t>
      </w:r>
      <w:bookmarkEnd w:id="7"/>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Obiettivo primario del Piano di prevenzione della corruzione è garantire nel tempo all’Amministrazione Comunale, attraverso un sistema di controlli preventivi e di misure organizzative, il presidio del processo di monitoraggio e di verifica sull'integrità delle azioni e dei comportamenti del personale.</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Ciò consente da un lato la prevenzione dei rischi per danni all'immagine derivanti da comportamenti scorretti o illegali del personale, dall’altro di rendere il complesso delle azioni sviluppate efficace anche a presidio della corretta gestione dell’ente.</w:t>
      </w:r>
    </w:p>
    <w:p w:rsidR="00917FEC" w:rsidRPr="009C1EBA" w:rsidRDefault="00A91522">
      <w:pPr>
        <w:pStyle w:val="Standard"/>
        <w:spacing w:before="100" w:after="0" w:line="240" w:lineRule="auto"/>
        <w:jc w:val="both"/>
      </w:pPr>
      <w:r w:rsidRPr="009C1EBA">
        <w:rPr>
          <w:rFonts w:ascii="Arial" w:hAnsi="Arial" w:cs="Arial"/>
          <w:sz w:val="21"/>
          <w:szCs w:val="21"/>
        </w:rPr>
        <w:t xml:space="preserve">La </w:t>
      </w:r>
      <w:r w:rsidRPr="009C1EBA">
        <w:rPr>
          <w:rFonts w:ascii="Arial" w:hAnsi="Arial" w:cs="Arial"/>
          <w:bCs/>
          <w:sz w:val="21"/>
          <w:szCs w:val="21"/>
        </w:rPr>
        <w:t>metodologia adottata</w:t>
      </w:r>
      <w:r w:rsidRPr="009C1EBA">
        <w:rPr>
          <w:rFonts w:ascii="Arial" w:hAnsi="Arial" w:cs="Arial"/>
          <w:sz w:val="21"/>
          <w:szCs w:val="21"/>
        </w:rPr>
        <w:t xml:space="preserve"> nella stesura del Piano si rifà a due approcci considerati di eccellenza negli ambiti organizzativi che già hanno efficacemente affrontato tali problematiche:</w:t>
      </w:r>
    </w:p>
    <w:p w:rsidR="00917FEC" w:rsidRPr="009C1EBA" w:rsidRDefault="00A91522">
      <w:pPr>
        <w:pStyle w:val="Standard"/>
        <w:numPr>
          <w:ilvl w:val="0"/>
          <w:numId w:val="21"/>
        </w:numPr>
        <w:tabs>
          <w:tab w:val="left" w:pos="568"/>
        </w:tabs>
        <w:spacing w:before="100" w:after="0" w:line="240" w:lineRule="auto"/>
        <w:ind w:left="284" w:hanging="284"/>
        <w:jc w:val="both"/>
      </w:pPr>
      <w:r w:rsidRPr="009C1EBA">
        <w:rPr>
          <w:rFonts w:ascii="Arial" w:hAnsi="Arial" w:cs="Arial"/>
          <w:b/>
          <w:bCs/>
          <w:sz w:val="21"/>
          <w:szCs w:val="21"/>
        </w:rPr>
        <w:t>L’approccio dei sistemi normati</w:t>
      </w:r>
      <w:r w:rsidRPr="009C1EBA">
        <w:rPr>
          <w:rFonts w:ascii="Arial" w:hAnsi="Arial" w:cs="Arial"/>
          <w:sz w:val="21"/>
          <w:szCs w:val="21"/>
        </w:rPr>
        <w:t xml:space="preserve">, che si fonda sul </w:t>
      </w:r>
      <w:r w:rsidRPr="009C1EBA">
        <w:rPr>
          <w:rFonts w:ascii="Arial" w:hAnsi="Arial" w:cs="Arial"/>
          <w:b/>
          <w:bCs/>
          <w:sz w:val="21"/>
          <w:szCs w:val="21"/>
        </w:rPr>
        <w:t>principio di documentabilità delle attività svolte</w:t>
      </w:r>
      <w:r w:rsidRPr="009C1EBA">
        <w:rPr>
          <w:rFonts w:ascii="Arial" w:hAnsi="Arial" w:cs="Arial"/>
          <w:sz w:val="21"/>
          <w:szCs w:val="21"/>
        </w:rPr>
        <w:t xml:space="preserve">, per cui, in ogni processo, le operazioni e le azioni devono essere verificabili in termini di coerenza e congruità, in modo che sia sempre attestata la responsabilità della progettazione delle attività, della validazione, dell’autorizzazione, dell’effettuazione; e sul </w:t>
      </w:r>
      <w:r w:rsidRPr="009C1EBA">
        <w:rPr>
          <w:rFonts w:ascii="Arial" w:hAnsi="Arial" w:cs="Arial"/>
          <w:b/>
          <w:bCs/>
          <w:sz w:val="21"/>
          <w:szCs w:val="21"/>
        </w:rPr>
        <w:t>principio di documentabilità dei controlli</w:t>
      </w:r>
      <w:r w:rsidRPr="009C1EBA">
        <w:rPr>
          <w:rFonts w:ascii="Arial" w:hAnsi="Arial" w:cs="Arial"/>
          <w:sz w:val="21"/>
          <w:szCs w:val="21"/>
        </w:rPr>
        <w:t xml:space="preserve">, per cui ogni attività di supervisione o controllo deve essere documentata e firmata da chi ne ha la </w:t>
      </w:r>
      <w:r w:rsidRPr="009C1EBA">
        <w:rPr>
          <w:rFonts w:ascii="Arial" w:hAnsi="Arial" w:cs="Arial"/>
          <w:sz w:val="21"/>
          <w:szCs w:val="21"/>
        </w:rPr>
        <w:lastRenderedPageBreak/>
        <w:t xml:space="preserve">responsabilità. In coerenza con tali principi, sono da formalizzare procedure, </w:t>
      </w:r>
      <w:r w:rsidR="00BF0B20">
        <w:rPr>
          <w:rFonts w:ascii="Arial" w:hAnsi="Arial" w:cs="Arial"/>
          <w:sz w:val="21"/>
          <w:szCs w:val="21"/>
        </w:rPr>
        <w:t>c</w:t>
      </w:r>
      <w:r w:rsidRPr="009C1EBA">
        <w:rPr>
          <w:rFonts w:ascii="Arial" w:hAnsi="Arial" w:cs="Arial"/>
          <w:sz w:val="21"/>
          <w:szCs w:val="21"/>
        </w:rPr>
        <w:t>heck-list, criteri e altri strumenti gestionali in grado di garantire omogeneità, oltre che trasparenza e equità;</w:t>
      </w:r>
    </w:p>
    <w:p w:rsidR="00917FEC" w:rsidRPr="009C1EBA" w:rsidRDefault="00A91522">
      <w:pPr>
        <w:pStyle w:val="Standard"/>
        <w:numPr>
          <w:ilvl w:val="0"/>
          <w:numId w:val="5"/>
        </w:numPr>
        <w:tabs>
          <w:tab w:val="left" w:pos="568"/>
        </w:tabs>
        <w:spacing w:before="100" w:after="0" w:line="240" w:lineRule="auto"/>
        <w:ind w:left="284" w:hanging="284"/>
        <w:jc w:val="both"/>
      </w:pPr>
      <w:r w:rsidRPr="009C1EBA">
        <w:rPr>
          <w:rFonts w:ascii="Arial" w:hAnsi="Arial" w:cs="Arial"/>
          <w:b/>
          <w:bCs/>
          <w:sz w:val="21"/>
          <w:szCs w:val="21"/>
        </w:rPr>
        <w:t>L’approccio</w:t>
      </w:r>
      <w:r w:rsidRPr="009C1EBA">
        <w:rPr>
          <w:rFonts w:ascii="Arial" w:hAnsi="Arial" w:cs="Arial"/>
          <w:sz w:val="21"/>
          <w:szCs w:val="21"/>
        </w:rPr>
        <w:t xml:space="preserve"> </w:t>
      </w:r>
      <w:r w:rsidRPr="009C1EBA">
        <w:rPr>
          <w:rFonts w:ascii="Arial" w:hAnsi="Arial" w:cs="Arial"/>
          <w:b/>
          <w:bCs/>
          <w:sz w:val="21"/>
          <w:szCs w:val="21"/>
        </w:rPr>
        <w:t>mutuato dal D.</w:t>
      </w:r>
      <w:r w:rsidR="00BF0B20">
        <w:rPr>
          <w:rFonts w:ascii="Arial" w:hAnsi="Arial" w:cs="Arial"/>
          <w:b/>
          <w:bCs/>
          <w:sz w:val="21"/>
          <w:szCs w:val="21"/>
        </w:rPr>
        <w:t>L</w:t>
      </w:r>
      <w:r w:rsidRPr="009C1EBA">
        <w:rPr>
          <w:rFonts w:ascii="Arial" w:hAnsi="Arial" w:cs="Arial"/>
          <w:b/>
          <w:bCs/>
          <w:sz w:val="21"/>
          <w:szCs w:val="21"/>
        </w:rPr>
        <w:t>gs. 231/2001</w:t>
      </w:r>
      <w:r w:rsidRPr="009C1EBA">
        <w:rPr>
          <w:rFonts w:ascii="Arial" w:hAnsi="Arial" w:cs="Arial"/>
          <w:sz w:val="21"/>
          <w:szCs w:val="21"/>
        </w:rPr>
        <w:t xml:space="preserve"> – con le dovute contestualizzazioni e senza che sia imposto dal decreto stesso nell’ambito pubblico - che prevede che l’ente </w:t>
      </w:r>
      <w:r w:rsidRPr="009C1EBA">
        <w:rPr>
          <w:rFonts w:ascii="Arial" w:hAnsi="Arial" w:cs="Arial"/>
          <w:b/>
          <w:sz w:val="21"/>
          <w:szCs w:val="21"/>
        </w:rPr>
        <w:t>non sia responsabile</w:t>
      </w:r>
      <w:r w:rsidRPr="009C1EBA">
        <w:rPr>
          <w:rFonts w:ascii="Arial" w:hAnsi="Arial" w:cs="Arial"/>
          <w:sz w:val="21"/>
          <w:szCs w:val="21"/>
        </w:rPr>
        <w:t xml:space="preserve"> per i reati commessi (anche nel suo interesse o a suo vantaggio) se sono soddisfatte le seguenti condizioni:</w:t>
      </w:r>
    </w:p>
    <w:p w:rsidR="00917FEC" w:rsidRPr="009C1EBA" w:rsidRDefault="00A91522">
      <w:pPr>
        <w:pStyle w:val="Standard"/>
        <w:numPr>
          <w:ilvl w:val="0"/>
          <w:numId w:val="22"/>
        </w:numPr>
        <w:spacing w:before="100" w:after="0" w:line="240" w:lineRule="auto"/>
        <w:ind w:left="709" w:hanging="425"/>
        <w:jc w:val="both"/>
      </w:pPr>
      <w:r w:rsidRPr="009C1EBA">
        <w:rPr>
          <w:rFonts w:ascii="Arial" w:hAnsi="Arial" w:cs="Arial"/>
          <w:sz w:val="21"/>
          <w:szCs w:val="21"/>
        </w:rPr>
        <w:t xml:space="preserve">Se prova che l’organo dirigente ha adottato ed efficacemente attuato, prima della commissione del fatto, </w:t>
      </w:r>
      <w:r w:rsidRPr="009C1EBA">
        <w:rPr>
          <w:rFonts w:ascii="Arial" w:hAnsi="Arial" w:cs="Arial"/>
          <w:b/>
          <w:bCs/>
          <w:sz w:val="21"/>
          <w:szCs w:val="21"/>
        </w:rPr>
        <w:t xml:space="preserve">modelli di organizzazione e di gestione idonei a prevenire reati </w:t>
      </w:r>
      <w:r w:rsidRPr="009C1EBA">
        <w:rPr>
          <w:rFonts w:ascii="Arial" w:hAnsi="Arial" w:cs="Arial"/>
          <w:sz w:val="21"/>
          <w:szCs w:val="21"/>
        </w:rPr>
        <w:t>della specie di quello verificatosi;</w:t>
      </w:r>
    </w:p>
    <w:p w:rsidR="00917FEC" w:rsidRPr="009C1EBA" w:rsidRDefault="00A91522">
      <w:pPr>
        <w:pStyle w:val="Standard"/>
        <w:numPr>
          <w:ilvl w:val="0"/>
          <w:numId w:val="6"/>
        </w:numPr>
        <w:spacing w:before="100" w:after="0" w:line="240" w:lineRule="auto"/>
        <w:ind w:left="709" w:hanging="425"/>
        <w:jc w:val="both"/>
        <w:rPr>
          <w:rFonts w:ascii="Arial" w:hAnsi="Arial" w:cs="Arial"/>
          <w:sz w:val="21"/>
          <w:szCs w:val="21"/>
        </w:rPr>
      </w:pPr>
      <w:r w:rsidRPr="009C1EBA">
        <w:rPr>
          <w:rFonts w:ascii="Arial" w:hAnsi="Arial" w:cs="Arial"/>
          <w:sz w:val="21"/>
          <w:szCs w:val="21"/>
        </w:rPr>
        <w:t>Se il compito di vigilare sul funzionamento e l’osservanza dei modelli e di curare il loro aggiornamento è stato affidato a un organismo dell’ente dotato di autonomi poteri di iniziativa e di controllo;</w:t>
      </w:r>
    </w:p>
    <w:p w:rsidR="00917FEC" w:rsidRPr="009C1EBA" w:rsidRDefault="00A91522">
      <w:pPr>
        <w:pStyle w:val="Standard"/>
        <w:numPr>
          <w:ilvl w:val="0"/>
          <w:numId w:val="6"/>
        </w:numPr>
        <w:spacing w:before="100" w:after="0" w:line="240" w:lineRule="auto"/>
        <w:ind w:left="709" w:hanging="425"/>
        <w:jc w:val="both"/>
        <w:rPr>
          <w:rFonts w:ascii="Arial" w:hAnsi="Arial" w:cs="Arial"/>
          <w:sz w:val="21"/>
          <w:szCs w:val="21"/>
        </w:rPr>
      </w:pPr>
      <w:r w:rsidRPr="009C1EBA">
        <w:rPr>
          <w:rFonts w:ascii="Arial" w:hAnsi="Arial" w:cs="Arial"/>
          <w:sz w:val="21"/>
          <w:szCs w:val="21"/>
        </w:rPr>
        <w:t>Se non vi è stata omessa o insufficiente vigilanza da parte dell’organismo.</w:t>
      </w:r>
    </w:p>
    <w:p w:rsidR="00917FEC" w:rsidRPr="009C1EBA" w:rsidRDefault="00A91522">
      <w:pPr>
        <w:pStyle w:val="Standard"/>
        <w:spacing w:before="120"/>
        <w:jc w:val="both"/>
      </w:pPr>
      <w:r w:rsidRPr="009C1EBA">
        <w:rPr>
          <w:rFonts w:ascii="Arial" w:hAnsi="Arial" w:cs="Arial"/>
          <w:sz w:val="21"/>
          <w:szCs w:val="21"/>
        </w:rPr>
        <w:t>Detti approcci, pur nel necessario adattamento, sono in linea con i Piani Nazionali Anticorruzione succedutisi nel tempo (2013, 2015, 2016 e 2017).</w:t>
      </w:r>
    </w:p>
    <w:p w:rsidR="00917FEC" w:rsidRPr="009C1EBA" w:rsidRDefault="00A91522">
      <w:pPr>
        <w:pStyle w:val="Titolo1"/>
        <w:rPr>
          <w:sz w:val="24"/>
          <w:szCs w:val="24"/>
        </w:rPr>
      </w:pPr>
      <w:bookmarkStart w:id="8" w:name="__RefHeading___Toc1954_761212699"/>
      <w:r w:rsidRPr="009C1EBA">
        <w:rPr>
          <w:sz w:val="24"/>
          <w:szCs w:val="24"/>
        </w:rPr>
        <w:t>7. IL PERCORSO DI COSTRUZIONE DEL PIANO</w:t>
      </w:r>
      <w:bookmarkEnd w:id="8"/>
    </w:p>
    <w:p w:rsidR="00917FEC" w:rsidRPr="009C1EBA" w:rsidRDefault="00A91522">
      <w:pPr>
        <w:pStyle w:val="Titolo2"/>
        <w:rPr>
          <w:i w:val="0"/>
          <w:sz w:val="21"/>
          <w:szCs w:val="21"/>
        </w:rPr>
      </w:pPr>
      <w:bookmarkStart w:id="9" w:name="__RefHeading___Toc1956_761212699"/>
      <w:r w:rsidRPr="009C1EBA">
        <w:rPr>
          <w:i w:val="0"/>
          <w:sz w:val="21"/>
          <w:szCs w:val="21"/>
        </w:rPr>
        <w:t>7.1 GLI ASPETTI PRESI IN CONSIDERAZIONE</w:t>
      </w:r>
      <w:bookmarkEnd w:id="9"/>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Nel percorso di costruzione del Piano, accompagnato dall’intervento di formazione-azione promosso dal Consorzio dei Comuni Trentini, sono stati tenuti in considerazione cinque aspetti espressamente citati dalle Linee di indirizzo del Comitato interministeriale del marzo 2013 e riconfermati dal PNA del 11 settembre 2013 e successivi aggiornamenti:</w:t>
      </w:r>
    </w:p>
    <w:p w:rsidR="00917FEC" w:rsidRPr="009C1EBA" w:rsidRDefault="00A91522">
      <w:pPr>
        <w:pStyle w:val="Default"/>
        <w:numPr>
          <w:ilvl w:val="0"/>
          <w:numId w:val="23"/>
        </w:numPr>
        <w:spacing w:before="100" w:after="0" w:line="240" w:lineRule="auto"/>
        <w:ind w:hanging="720"/>
        <w:rPr>
          <w:color w:val="auto"/>
        </w:rPr>
      </w:pPr>
      <w:r w:rsidRPr="009C1EBA">
        <w:rPr>
          <w:rFonts w:ascii="Arial" w:hAnsi="Arial" w:cs="Arial"/>
          <w:color w:val="auto"/>
          <w:sz w:val="21"/>
          <w:szCs w:val="21"/>
        </w:rPr>
        <w:t xml:space="preserve">il </w:t>
      </w:r>
      <w:r w:rsidRPr="009C1EBA">
        <w:rPr>
          <w:rFonts w:ascii="Arial" w:hAnsi="Arial" w:cs="Arial"/>
          <w:b/>
          <w:color w:val="auto"/>
          <w:sz w:val="21"/>
          <w:szCs w:val="21"/>
        </w:rPr>
        <w:t>coinvolgimento dei Responsabili operanti nelle aree a più elevato rischio</w:t>
      </w:r>
      <w:r w:rsidRPr="009C1EBA">
        <w:rPr>
          <w:rFonts w:ascii="Arial" w:hAnsi="Arial" w:cs="Arial"/>
          <w:color w:val="auto"/>
          <w:sz w:val="21"/>
          <w:szCs w:val="21"/>
        </w:rPr>
        <w:t xml:space="preserve"> nell’attività di analisi e valutazione, di proposta e definizione delle misure e di monitoraggio per l’implementazione del Piano; tale attività – che non sostituisce ma integra la opportuna formazione rispetto alle finalità e agli strumenti dal Piano stesso - è stata il punto di partenza per la definizione di azioni preventive efficaci rispetto alle reali esigenze del Comune di </w:t>
      </w:r>
      <w:r w:rsidR="005A29F1" w:rsidRPr="009C1EBA">
        <w:rPr>
          <w:rFonts w:ascii="Arial" w:hAnsi="Arial" w:cs="Arial"/>
          <w:color w:val="auto"/>
          <w:sz w:val="21"/>
          <w:szCs w:val="21"/>
        </w:rPr>
        <w:t>Cinte Tesino</w:t>
      </w:r>
      <w:r w:rsidRPr="009C1EBA">
        <w:rPr>
          <w:rFonts w:ascii="Arial" w:hAnsi="Arial" w:cs="Arial"/>
          <w:color w:val="auto"/>
          <w:sz w:val="21"/>
          <w:szCs w:val="21"/>
        </w:rPr>
        <w:t>;</w:t>
      </w:r>
    </w:p>
    <w:p w:rsidR="00917FEC" w:rsidRPr="009C1EBA" w:rsidRDefault="00A91522">
      <w:pPr>
        <w:pStyle w:val="Default"/>
        <w:numPr>
          <w:ilvl w:val="0"/>
          <w:numId w:val="7"/>
        </w:numPr>
        <w:spacing w:before="100" w:after="0" w:line="240" w:lineRule="auto"/>
        <w:ind w:hanging="720"/>
        <w:rPr>
          <w:color w:val="auto"/>
        </w:rPr>
      </w:pPr>
      <w:r w:rsidRPr="009C1EBA">
        <w:rPr>
          <w:rFonts w:ascii="Arial" w:hAnsi="Arial" w:cs="Arial"/>
          <w:color w:val="auto"/>
          <w:sz w:val="21"/>
          <w:szCs w:val="21"/>
        </w:rPr>
        <w:t xml:space="preserve">Il </w:t>
      </w:r>
      <w:r w:rsidRPr="009C1EBA">
        <w:rPr>
          <w:rFonts w:ascii="Arial" w:hAnsi="Arial" w:cs="Arial"/>
          <w:b/>
          <w:color w:val="auto"/>
          <w:sz w:val="21"/>
          <w:szCs w:val="21"/>
        </w:rPr>
        <w:t>coinvolgimento degli amministratori</w:t>
      </w:r>
      <w:r w:rsidRPr="009C1EBA">
        <w:rPr>
          <w:rFonts w:ascii="Arial" w:hAnsi="Arial" w:cs="Arial"/>
          <w:color w:val="auto"/>
          <w:sz w:val="21"/>
          <w:szCs w:val="21"/>
        </w:rPr>
        <w:t xml:space="preserve"> anche nella fase di progettazione, attraverso l’informativa resa al consiglio comunale in merito agli indirizzi che si intendono seguire per l’aggiornamento del Piano. Il ruolo della Giunta Comunale è più strettamente operativo potendosi essa esprimere anche in corso di progettazione del PTPC, oltre che in sede di approvazione ed adozione. </w:t>
      </w:r>
    </w:p>
    <w:p w:rsidR="00917FEC" w:rsidRPr="009C1EBA" w:rsidRDefault="00A91522">
      <w:pPr>
        <w:pStyle w:val="Default"/>
        <w:numPr>
          <w:ilvl w:val="0"/>
          <w:numId w:val="7"/>
        </w:numPr>
        <w:spacing w:before="100" w:after="0" w:line="240" w:lineRule="auto"/>
        <w:ind w:hanging="720"/>
        <w:rPr>
          <w:color w:val="auto"/>
        </w:rPr>
      </w:pPr>
      <w:r w:rsidRPr="009C1EBA">
        <w:rPr>
          <w:rFonts w:ascii="Arial" w:hAnsi="Arial" w:cs="Arial"/>
          <w:color w:val="auto"/>
          <w:sz w:val="21"/>
          <w:szCs w:val="21"/>
        </w:rPr>
        <w:t xml:space="preserve">la </w:t>
      </w:r>
      <w:r w:rsidRPr="009C1EBA">
        <w:rPr>
          <w:rFonts w:ascii="Arial" w:hAnsi="Arial" w:cs="Arial"/>
          <w:b/>
          <w:color w:val="auto"/>
          <w:sz w:val="21"/>
          <w:szCs w:val="21"/>
        </w:rPr>
        <w:t>rilevazione delle misure di contrasto</w:t>
      </w:r>
      <w:r w:rsidRPr="009C1EBA">
        <w:rPr>
          <w:rFonts w:ascii="Arial" w:hAnsi="Arial" w:cs="Arial"/>
          <w:color w:val="auto"/>
          <w:sz w:val="21"/>
          <w:szCs w:val="21"/>
        </w:rPr>
        <w:t xml:space="preserve">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alla indicazione delle misure che, attualmente non presenti, si prevede di adottare in futuro. Si è in tal modo costruito un Piano che, valorizzando il percorso virtuoso già intrapreso dall’Amministrazione, mette a sistema quanto già positivamente sperimentato purché coerente con le finalità del Piano;</w:t>
      </w:r>
    </w:p>
    <w:p w:rsidR="00917FEC" w:rsidRPr="009C1EBA" w:rsidRDefault="00A91522">
      <w:pPr>
        <w:pStyle w:val="Default"/>
        <w:numPr>
          <w:ilvl w:val="0"/>
          <w:numId w:val="7"/>
        </w:numPr>
        <w:spacing w:before="100" w:after="0" w:line="240" w:lineRule="auto"/>
        <w:ind w:hanging="720"/>
        <w:rPr>
          <w:rFonts w:ascii="Arial" w:hAnsi="Arial" w:cs="Arial"/>
          <w:color w:val="auto"/>
          <w:sz w:val="21"/>
          <w:szCs w:val="21"/>
        </w:rPr>
      </w:pPr>
      <w:r w:rsidRPr="009C1EBA">
        <w:rPr>
          <w:rFonts w:ascii="Arial" w:hAnsi="Arial" w:cs="Arial"/>
          <w:color w:val="auto"/>
          <w:sz w:val="21"/>
          <w:szCs w:val="21"/>
        </w:rPr>
        <w:t>l’impegno all’apertura di un tavolo di confronto con i portatori di interessi sui contenuti delle misure adottate nelle aree a maggior rischio di comportamenti non integri, per poter arricchire l’approccio con l’essenziale punto di vista dei fruitori dei servizi del Comune, e nel contempo rendere consapevoli gli interessati degli sforzi messi in campo dall’organizzazione per rafforzare e sostenere l’integrità e trasparenza dei comportamenti dei suoi operatori a tutti i livelli;</w:t>
      </w:r>
    </w:p>
    <w:p w:rsidR="00917FEC" w:rsidRPr="009C1EBA" w:rsidRDefault="00A91522">
      <w:pPr>
        <w:pStyle w:val="Default"/>
        <w:numPr>
          <w:ilvl w:val="0"/>
          <w:numId w:val="7"/>
        </w:numPr>
        <w:spacing w:before="100" w:after="0" w:line="240" w:lineRule="auto"/>
        <w:ind w:hanging="720"/>
        <w:rPr>
          <w:color w:val="auto"/>
        </w:rPr>
      </w:pPr>
      <w:r w:rsidRPr="009C1EBA">
        <w:rPr>
          <w:rFonts w:ascii="Arial" w:hAnsi="Arial" w:cs="Arial"/>
          <w:color w:val="auto"/>
          <w:sz w:val="21"/>
          <w:szCs w:val="21"/>
        </w:rPr>
        <w:t xml:space="preserve">la </w:t>
      </w:r>
      <w:r w:rsidRPr="009C1EBA">
        <w:rPr>
          <w:rFonts w:ascii="Arial" w:hAnsi="Arial" w:cs="Arial"/>
          <w:b/>
          <w:color w:val="auto"/>
          <w:sz w:val="21"/>
          <w:szCs w:val="21"/>
        </w:rPr>
        <w:t>sinergia</w:t>
      </w:r>
      <w:r w:rsidRPr="009C1EBA">
        <w:rPr>
          <w:rFonts w:ascii="Arial" w:hAnsi="Arial" w:cs="Arial"/>
          <w:color w:val="auto"/>
          <w:sz w:val="21"/>
          <w:szCs w:val="21"/>
        </w:rPr>
        <w:t xml:space="preserve"> con quanto già realizzato o in progettazione nell’ambito della trasparenza, ivi compresi:</w:t>
      </w:r>
    </w:p>
    <w:p w:rsidR="00917FEC" w:rsidRPr="009C1EBA" w:rsidRDefault="00A91522">
      <w:pPr>
        <w:pStyle w:val="Default"/>
        <w:numPr>
          <w:ilvl w:val="0"/>
          <w:numId w:val="24"/>
        </w:numPr>
        <w:spacing w:after="0" w:line="240" w:lineRule="auto"/>
        <w:ind w:left="1066" w:hanging="720"/>
        <w:rPr>
          <w:rFonts w:ascii="Arial" w:hAnsi="Arial" w:cs="Arial"/>
          <w:color w:val="auto"/>
          <w:sz w:val="21"/>
          <w:szCs w:val="21"/>
        </w:rPr>
      </w:pPr>
      <w:r w:rsidRPr="009C1EBA">
        <w:rPr>
          <w:rFonts w:ascii="Arial" w:hAnsi="Arial" w:cs="Arial"/>
          <w:color w:val="auto"/>
          <w:sz w:val="21"/>
          <w:szCs w:val="21"/>
        </w:rPr>
        <w:t>l’attivazione del sistema di trasmissione delle informazioni al sito web dell’amministrazione;</w:t>
      </w:r>
    </w:p>
    <w:p w:rsidR="00917FEC" w:rsidRPr="009C1EBA" w:rsidRDefault="00A91522">
      <w:pPr>
        <w:pStyle w:val="Default"/>
        <w:numPr>
          <w:ilvl w:val="0"/>
          <w:numId w:val="10"/>
        </w:numPr>
        <w:spacing w:after="0" w:line="240" w:lineRule="auto"/>
        <w:ind w:left="1066" w:hanging="720"/>
        <w:rPr>
          <w:rFonts w:ascii="Arial" w:hAnsi="Arial" w:cs="Arial"/>
          <w:color w:val="auto"/>
          <w:sz w:val="21"/>
          <w:szCs w:val="21"/>
        </w:rPr>
      </w:pPr>
      <w:r w:rsidRPr="009C1EBA">
        <w:rPr>
          <w:rFonts w:ascii="Arial" w:hAnsi="Arial" w:cs="Arial"/>
          <w:color w:val="auto"/>
          <w:sz w:val="21"/>
          <w:szCs w:val="21"/>
        </w:rPr>
        <w:t>l’attivazione del diritto di accesso civico di cui al citato D.lgs. n.33/2013, così come è stato previsto dalla legge regionale 10/2014 in tema di trasparenza, in attesa del recepimento, a livello regionale, del nuovo istituto dell’accesso civico generalizzato introdotto con il d.lgs. 97/2016 (cd FOIA);</w:t>
      </w:r>
    </w:p>
    <w:p w:rsidR="00917FEC" w:rsidRPr="009C1EBA" w:rsidRDefault="00A91522">
      <w:pPr>
        <w:pStyle w:val="Default"/>
        <w:numPr>
          <w:ilvl w:val="0"/>
          <w:numId w:val="7"/>
        </w:numPr>
        <w:spacing w:before="100" w:after="0" w:line="240" w:lineRule="auto"/>
        <w:ind w:hanging="720"/>
        <w:rPr>
          <w:color w:val="auto"/>
        </w:rPr>
      </w:pPr>
      <w:r w:rsidRPr="009C1EBA">
        <w:rPr>
          <w:rFonts w:ascii="Arial" w:hAnsi="Arial" w:cs="Arial"/>
          <w:color w:val="auto"/>
          <w:sz w:val="21"/>
          <w:szCs w:val="21"/>
        </w:rPr>
        <w:lastRenderedPageBreak/>
        <w:t xml:space="preserve">la previsione e l’adozione di </w:t>
      </w:r>
      <w:r w:rsidRPr="009C1EBA">
        <w:rPr>
          <w:rFonts w:ascii="Arial" w:hAnsi="Arial" w:cs="Arial"/>
          <w:b/>
          <w:color w:val="auto"/>
          <w:sz w:val="21"/>
          <w:szCs w:val="21"/>
        </w:rPr>
        <w:t>specifiche attività di formazione del personale</w:t>
      </w:r>
      <w:r w:rsidRPr="009C1EBA">
        <w:rPr>
          <w:rFonts w:ascii="Arial" w:hAnsi="Arial" w:cs="Arial"/>
          <w:color w:val="auto"/>
          <w:sz w:val="21"/>
          <w:szCs w:val="21"/>
        </w:rPr>
        <w:t>, con attenzione prioritaria al responsabile anticorruzione dell’amministrazione e ai responsabili amministrativi competenti per le attività maggiormente esposte al rischio di corruzione ma che coinvolgono anche tutto il personale dell’amministrazione in relazione alle tematiche della legalità ed eticità dei comportamenti individuali Tali attività proseguiranno in prima battuta tramite l’apporto degli esperti del Consorzio dei Comuni Trentini.</w:t>
      </w:r>
    </w:p>
    <w:p w:rsidR="00917FEC" w:rsidRPr="009C1EBA" w:rsidRDefault="00A91522">
      <w:pPr>
        <w:pStyle w:val="Default"/>
        <w:numPr>
          <w:ilvl w:val="0"/>
          <w:numId w:val="7"/>
        </w:numPr>
        <w:spacing w:before="100" w:after="0" w:line="240" w:lineRule="auto"/>
        <w:ind w:hanging="720"/>
        <w:rPr>
          <w:color w:val="auto"/>
        </w:rPr>
      </w:pPr>
      <w:r w:rsidRPr="009C1EBA">
        <w:rPr>
          <w:rFonts w:ascii="Arial" w:hAnsi="Arial" w:cs="Arial"/>
          <w:color w:val="auto"/>
          <w:sz w:val="21"/>
          <w:szCs w:val="21"/>
        </w:rPr>
        <w:t>l’attività di monitoraggio del Piano precedente (</w:t>
      </w:r>
      <w:r w:rsidRPr="009C1EBA">
        <w:rPr>
          <w:rFonts w:ascii="Arial" w:hAnsi="Arial" w:cs="Arial"/>
          <w:i/>
          <w:iCs/>
          <w:color w:val="auto"/>
          <w:sz w:val="21"/>
          <w:szCs w:val="21"/>
        </w:rPr>
        <w:t>descrivere sinteticamente le risultanze dell’attiviyà di monitoraggio del piano precedente</w:t>
      </w:r>
      <w:r w:rsidRPr="009C1EBA">
        <w:rPr>
          <w:rFonts w:ascii="Arial" w:hAnsi="Arial" w:cs="Arial"/>
          <w:color w:val="auto"/>
          <w:sz w:val="21"/>
          <w:szCs w:val="21"/>
        </w:rPr>
        <w:t>);</w:t>
      </w:r>
    </w:p>
    <w:p w:rsidR="00917FEC" w:rsidRPr="009C1EBA" w:rsidRDefault="00A91522">
      <w:pPr>
        <w:pStyle w:val="Default"/>
        <w:numPr>
          <w:ilvl w:val="0"/>
          <w:numId w:val="7"/>
        </w:numPr>
        <w:spacing w:before="100" w:after="0" w:line="240" w:lineRule="auto"/>
        <w:ind w:hanging="720"/>
        <w:rPr>
          <w:rFonts w:ascii="Arial" w:hAnsi="Arial" w:cs="Arial"/>
          <w:color w:val="auto"/>
          <w:sz w:val="21"/>
          <w:szCs w:val="21"/>
        </w:rPr>
      </w:pPr>
      <w:r w:rsidRPr="009C1EBA">
        <w:rPr>
          <w:rFonts w:ascii="Arial" w:hAnsi="Arial" w:cs="Arial"/>
          <w:color w:val="auto"/>
          <w:sz w:val="21"/>
          <w:szCs w:val="21"/>
        </w:rPr>
        <w:t>l’adeguamento normativo a seguito della regolazione della materia da parte dell’ANAC, in particolare, con le delibere n. 1134 e 1208 del 2017;</w:t>
      </w:r>
    </w:p>
    <w:p w:rsidR="00917FEC" w:rsidRPr="009C1EBA" w:rsidRDefault="00A91522">
      <w:pPr>
        <w:pStyle w:val="Standard"/>
        <w:numPr>
          <w:ilvl w:val="0"/>
          <w:numId w:val="7"/>
        </w:numPr>
        <w:autoSpaceDE w:val="0"/>
        <w:spacing w:before="100" w:after="0" w:line="240" w:lineRule="auto"/>
        <w:ind w:hanging="720"/>
        <w:jc w:val="both"/>
      </w:pPr>
      <w:r w:rsidRPr="009C1EBA">
        <w:rPr>
          <w:rFonts w:ascii="Arial" w:hAnsi="Arial" w:cs="Arial"/>
          <w:sz w:val="21"/>
          <w:szCs w:val="21"/>
        </w:rPr>
        <w:t>la continuità con le azioni intraprese con i precedenti Piani Triennali di Prevenzione della Corruzione e della Trasparenza.</w:t>
      </w:r>
    </w:p>
    <w:p w:rsidR="00917FEC" w:rsidRPr="009C1EBA" w:rsidRDefault="00A91522">
      <w:pPr>
        <w:pStyle w:val="Standard"/>
        <w:spacing w:before="100" w:after="0" w:line="240" w:lineRule="auto"/>
        <w:jc w:val="both"/>
      </w:pPr>
      <w:r w:rsidRPr="009C1EBA">
        <w:rPr>
          <w:rFonts w:ascii="Arial" w:hAnsi="Arial" w:cs="Arial"/>
          <w:sz w:val="21"/>
          <w:szCs w:val="21"/>
        </w:rPr>
        <w:t xml:space="preserve">Inoltre si è ritenuto opportuno - come previsto nella circolare n. 1 del 25 gennaio 2013 del Dipartimento della Funzione Pubblica </w:t>
      </w:r>
      <w:r w:rsidRPr="009C1EBA">
        <w:rPr>
          <w:rFonts w:ascii="Arial" w:hAnsi="Arial" w:cs="Arial"/>
          <w:b/>
          <w:sz w:val="21"/>
          <w:szCs w:val="21"/>
        </w:rPr>
        <w:t>- ampliare il concetto di corruzione, ricomprendendo tutte quelle situazioni in cui “</w:t>
      </w:r>
      <w:r w:rsidRPr="009C1EBA">
        <w:rPr>
          <w:rFonts w:ascii="Arial" w:hAnsi="Arial" w:cs="Arial"/>
          <w:b/>
          <w:i/>
          <w:sz w:val="21"/>
          <w:szCs w:val="21"/>
        </w:rPr>
        <w:t>nel corso dell’attività amministrativa, si riscontri l’abuso, da parte di un</w:t>
      </w:r>
      <w:r w:rsidRPr="009C1EBA">
        <w:rPr>
          <w:rFonts w:ascii="Arial" w:hAnsi="Arial" w:cs="Arial"/>
          <w:i/>
          <w:sz w:val="21"/>
          <w:szCs w:val="21"/>
        </w:rPr>
        <w:t xml:space="preserve"> soggetto, del potere a lui affidato al fine di ottenere vantaggi privati. (…) Le situazioni rilevanti sono quindi più ampie della fattispecie penalistica e sono tali da ricomprendere non solo l’intera gamma dei delitti contro la Pubblica Amministrazione disciplinati nel Titolo II, capo I del codice penale, ma anche le situazioni in cui, a prescindere dalla rilevanza penale, venga in evidenza un malfunzionamento dell’amministrazione a causa dell’uso a fini privati delle funzioni attribuite</w:t>
      </w:r>
      <w:r w:rsidRPr="009C1EBA">
        <w:rPr>
          <w:rFonts w:ascii="Arial" w:hAnsi="Arial" w:cs="Arial"/>
          <w:sz w:val="21"/>
          <w:szCs w:val="21"/>
        </w:rPr>
        <w:t>”.</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10" w:name="__RefHeading___Toc1958_761212699"/>
      <w:r w:rsidRPr="009C1EBA">
        <w:rPr>
          <w:i w:val="0"/>
          <w:sz w:val="21"/>
          <w:szCs w:val="21"/>
        </w:rPr>
        <w:t>7.2 SENSIBILIZZAZIONE DEI RESPONSABILI DI SERVIZIO E CONDIVISIONE DELL’APPROCCIO</w:t>
      </w:r>
      <w:bookmarkEnd w:id="10"/>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Il primo passo compiuto nella direzione auspicata è stato quello di far crescere all’interno del Comune la consapevolezza sul problema dell’integrità dei comportamenti.</w:t>
      </w:r>
    </w:p>
    <w:p w:rsidR="00917FEC" w:rsidRPr="009C1EBA" w:rsidRDefault="00A91522">
      <w:pPr>
        <w:pStyle w:val="Standard"/>
        <w:spacing w:before="100" w:after="0" w:line="240" w:lineRule="auto"/>
        <w:jc w:val="both"/>
      </w:pPr>
      <w:r w:rsidRPr="009C1EBA">
        <w:rPr>
          <w:rFonts w:ascii="Arial" w:hAnsi="Arial" w:cs="Arial"/>
          <w:sz w:val="21"/>
          <w:szCs w:val="21"/>
        </w:rPr>
        <w:t xml:space="preserve">In coerenza con l’importanza della condivisione delle finalità e del metodo di costruzione del Piano, in questa fase formativa si è provveduto – in più incontri specifici - alla </w:t>
      </w:r>
      <w:r w:rsidRPr="009C1EBA">
        <w:rPr>
          <w:rFonts w:ascii="Arial" w:hAnsi="Arial" w:cs="Arial"/>
          <w:b/>
          <w:sz w:val="21"/>
          <w:szCs w:val="21"/>
        </w:rPr>
        <w:t>sensibilizzazione e al coinvolgimento dei Responsabili di Servizio</w:t>
      </w:r>
      <w:r w:rsidRPr="009C1EBA">
        <w:rPr>
          <w:rFonts w:ascii="Arial" w:hAnsi="Arial" w:cs="Arial"/>
          <w:sz w:val="21"/>
          <w:szCs w:val="21"/>
        </w:rPr>
        <w:t xml:space="preserve">, definendo in quella sede che il Piano di prevenzione della corruzione avrebbe incluso non solo i procedimenti previsti dall’art. 1 comma 16 della L. 190 (autorizzazioni o concessioni; scelta del contraente per l'affidamento di lavori, forniture e servizi; concessione ed erogazione di sovvenzioni, contributi, sussidi, ausili finanziari, nonché' attribuzione di vantaggi economici di qualunque genere a persone ed enti pubblici e privati; concorsi e prove selettive per l'assunzione del personale e progressioni di carriera), ma che il punto di partenza sarebbe stata l’analisi di </w:t>
      </w:r>
      <w:r w:rsidRPr="009C1EBA">
        <w:rPr>
          <w:rFonts w:ascii="Arial" w:hAnsi="Arial" w:cs="Arial"/>
          <w:b/>
          <w:sz w:val="21"/>
          <w:szCs w:val="21"/>
        </w:rPr>
        <w:t>tutte le attività del Comune</w:t>
      </w:r>
      <w:r w:rsidRPr="009C1EBA">
        <w:rPr>
          <w:rFonts w:ascii="Arial" w:hAnsi="Arial" w:cs="Arial"/>
          <w:sz w:val="21"/>
          <w:szCs w:val="21"/>
        </w:rPr>
        <w:t xml:space="preserve"> che possono presentare rischi di integrità.</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 xml:space="preserve">Poiché nel Comune di </w:t>
      </w:r>
      <w:r w:rsidR="005A29F1" w:rsidRPr="009C1EBA">
        <w:rPr>
          <w:rFonts w:ascii="Arial" w:hAnsi="Arial" w:cs="Arial"/>
          <w:sz w:val="21"/>
          <w:szCs w:val="21"/>
        </w:rPr>
        <w:t>Cinte Tesino</w:t>
      </w:r>
      <w:r w:rsidRPr="009C1EBA">
        <w:rPr>
          <w:rFonts w:ascii="Arial" w:hAnsi="Arial" w:cs="Arial"/>
          <w:sz w:val="21"/>
          <w:szCs w:val="21"/>
        </w:rPr>
        <w:t>, in forza del Testo unico delle leggi regionali sull'ordinamento dei comuni della Regione autonoma Trentino-Alto Adige (DPReg. 1 febbraio 2005 n. 3/L - modificato dal DPReg. 3 aprile 2013 n. 25), gli Amministratori assumono compiti anche di natura gestionale, la loro partecipazione a questo processo è doverosa oltre che strategica, sia in termini di indirizzo politico – amministrativo che di condivisione dei principi di sana ed integra gestione della cosa pubblica.</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Per questo si è provveduto al loro coinvolgimento e ad una loro sensibilizzazione in itinere al processo di progettazione del presente Piano.</w:t>
      </w:r>
    </w:p>
    <w:p w:rsidR="00917FEC" w:rsidRPr="009C1EBA" w:rsidRDefault="00917FEC">
      <w:pPr>
        <w:pStyle w:val="Standard"/>
        <w:spacing w:before="100" w:after="0" w:line="240" w:lineRule="auto"/>
        <w:jc w:val="both"/>
        <w:rPr>
          <w:rFonts w:ascii="Arial" w:hAnsi="Arial" w:cs="Arial"/>
          <w:sz w:val="21"/>
          <w:szCs w:val="21"/>
          <w:u w:val="single"/>
        </w:rPr>
      </w:pPr>
    </w:p>
    <w:p w:rsidR="00917FEC" w:rsidRPr="009C1EBA" w:rsidRDefault="00A91522">
      <w:pPr>
        <w:pStyle w:val="Titolo2"/>
        <w:rPr>
          <w:i w:val="0"/>
          <w:sz w:val="21"/>
          <w:szCs w:val="21"/>
        </w:rPr>
      </w:pPr>
      <w:bookmarkStart w:id="11" w:name="__RefHeading___Toc1960_761212699"/>
      <w:r w:rsidRPr="009C1EBA">
        <w:rPr>
          <w:i w:val="0"/>
          <w:sz w:val="21"/>
          <w:szCs w:val="21"/>
        </w:rPr>
        <w:t>7.3 INDIVIDUAZIONE DEI PROCESSI A RISCHIO E DEI POSSIBILI RISCHI</w:t>
      </w:r>
      <w:bookmarkEnd w:id="11"/>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Con il criterio della priorità, sono stati selezionati dal Segretario Comunale e validati dai Responsabili i processi che, in funzione della situazione specifica del Comune, presentano possibili rischi per l’integrità, classificando tali rischi in relazione al grado di “pericolosità” ai fini delle norme anticorruzione.</w:t>
      </w:r>
    </w:p>
    <w:p w:rsidR="00917FEC" w:rsidRPr="009C1EBA" w:rsidRDefault="00A91522">
      <w:pPr>
        <w:pStyle w:val="Standard"/>
        <w:spacing w:before="100" w:after="0" w:line="240" w:lineRule="auto"/>
        <w:jc w:val="both"/>
      </w:pPr>
      <w:r w:rsidRPr="009C1EBA">
        <w:rPr>
          <w:rFonts w:ascii="Arial" w:hAnsi="Arial" w:cs="Arial"/>
          <w:sz w:val="21"/>
          <w:szCs w:val="21"/>
        </w:rPr>
        <w:t xml:space="preserve">In coerenza con quanto previsto dal D.lgs. 231/2001 e con le conclusioni della Commissione di Studio su trasparenza e corruzione (rapporto del 30 gennaio 2012), sono state attuate in tale selezione metodologie proprie del </w:t>
      </w:r>
      <w:r w:rsidRPr="009C1EBA">
        <w:rPr>
          <w:rFonts w:ascii="Arial" w:hAnsi="Arial" w:cs="Arial"/>
          <w:b/>
          <w:bCs/>
          <w:sz w:val="21"/>
          <w:szCs w:val="21"/>
        </w:rPr>
        <w:t>risk management</w:t>
      </w:r>
      <w:r w:rsidRPr="009C1EBA">
        <w:rPr>
          <w:rFonts w:ascii="Arial" w:hAnsi="Arial" w:cs="Arial"/>
          <w:sz w:val="21"/>
          <w:szCs w:val="21"/>
        </w:rPr>
        <w:t xml:space="preserve"> (gestione del rischio)</w:t>
      </w:r>
      <w:r w:rsidRPr="009C1EBA">
        <w:rPr>
          <w:rFonts w:ascii="Arial" w:hAnsi="Arial" w:cs="Arial"/>
          <w:b/>
          <w:bCs/>
          <w:sz w:val="21"/>
          <w:szCs w:val="21"/>
        </w:rPr>
        <w:t xml:space="preserve"> </w:t>
      </w:r>
      <w:r w:rsidRPr="009C1EBA">
        <w:rPr>
          <w:rFonts w:ascii="Arial" w:hAnsi="Arial" w:cs="Arial"/>
          <w:sz w:val="21"/>
          <w:szCs w:val="21"/>
        </w:rPr>
        <w:t xml:space="preserve">nella valutazione della priorità dei rischi, </w:t>
      </w:r>
      <w:r w:rsidRPr="009C1EBA">
        <w:rPr>
          <w:rFonts w:ascii="Arial" w:hAnsi="Arial" w:cs="Arial"/>
          <w:sz w:val="21"/>
          <w:szCs w:val="21"/>
        </w:rPr>
        <w:lastRenderedPageBreak/>
        <w:t xml:space="preserve">caratterizzando ogni processo in base ad un </w:t>
      </w:r>
      <w:r w:rsidRPr="009C1EBA">
        <w:rPr>
          <w:rFonts w:ascii="Arial" w:hAnsi="Arial" w:cs="Arial"/>
          <w:b/>
          <w:bCs/>
          <w:sz w:val="21"/>
          <w:szCs w:val="21"/>
        </w:rPr>
        <w:t>indice di rischio</w:t>
      </w:r>
      <w:r w:rsidRPr="009C1EBA">
        <w:rPr>
          <w:rFonts w:ascii="Arial" w:hAnsi="Arial" w:cs="Arial"/>
          <w:sz w:val="21"/>
          <w:szCs w:val="21"/>
        </w:rPr>
        <w:t xml:space="preserve"> in grado di misurare il suo specifico livello di criticità e di poterlo quindi successivamente comparare con il livello di criticità degli altri processi.</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L’approccio prevede che un rischio sia analizzato secondo due dimensioni:</w:t>
      </w:r>
    </w:p>
    <w:p w:rsidR="00917FEC" w:rsidRPr="009C1EBA" w:rsidRDefault="00A91522">
      <w:pPr>
        <w:pStyle w:val="Standard"/>
        <w:numPr>
          <w:ilvl w:val="0"/>
          <w:numId w:val="25"/>
        </w:numPr>
        <w:spacing w:before="100" w:after="0" w:line="240" w:lineRule="auto"/>
        <w:jc w:val="both"/>
      </w:pPr>
      <w:r w:rsidRPr="009C1EBA">
        <w:rPr>
          <w:rFonts w:ascii="Arial" w:hAnsi="Arial" w:cs="Arial"/>
          <w:sz w:val="21"/>
          <w:szCs w:val="21"/>
        </w:rPr>
        <w:t xml:space="preserve">la </w:t>
      </w:r>
      <w:r w:rsidRPr="009C1EBA">
        <w:rPr>
          <w:rFonts w:ascii="Arial" w:hAnsi="Arial" w:cs="Arial"/>
          <w:b/>
          <w:bCs/>
          <w:sz w:val="21"/>
          <w:szCs w:val="21"/>
        </w:rPr>
        <w:t>probabilità di accadimento</w:t>
      </w:r>
      <w:r w:rsidRPr="009C1EBA">
        <w:rPr>
          <w:rFonts w:ascii="Arial" w:hAnsi="Arial" w:cs="Arial"/>
          <w:sz w:val="21"/>
          <w:szCs w:val="21"/>
        </w:rPr>
        <w:t>, cioè la stima di quanto è probabile che il rischio si manifesti in quel processo, in relazione ad esempio alla presenza di discrezionalità, di fasi decisionali o di attività esterne a contatto con l’utente;</w:t>
      </w:r>
    </w:p>
    <w:p w:rsidR="00917FEC" w:rsidRPr="009C1EBA" w:rsidRDefault="00A91522">
      <w:pPr>
        <w:pStyle w:val="Standard"/>
        <w:numPr>
          <w:ilvl w:val="0"/>
          <w:numId w:val="4"/>
        </w:numPr>
        <w:spacing w:before="100" w:after="0" w:line="240" w:lineRule="auto"/>
        <w:jc w:val="both"/>
      </w:pPr>
      <w:r w:rsidRPr="009C1EBA">
        <w:rPr>
          <w:rFonts w:ascii="Arial" w:hAnsi="Arial" w:cs="Arial"/>
          <w:b/>
          <w:bCs/>
          <w:sz w:val="21"/>
          <w:szCs w:val="21"/>
        </w:rPr>
        <w:t>l’impatto dell’accadimento</w:t>
      </w:r>
      <w:r w:rsidRPr="009C1EBA">
        <w:rPr>
          <w:rFonts w:ascii="Arial" w:hAnsi="Arial" w:cs="Arial"/>
          <w:sz w:val="21"/>
          <w:szCs w:val="21"/>
        </w:rPr>
        <w:t>, cioè la stima dell’entità del danno – materiale o di immagine- connesso all’eventualità che il rischio si concretizzi.</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L’indice di rischio si ottiene moltiplicando tra loro questa due variabili (per ognuna delle quali si è stabilita convenzionalmente la seguente scala quantitativa:</w:t>
      </w:r>
    </w:p>
    <w:p w:rsidR="00917FEC" w:rsidRPr="009C1EBA" w:rsidRDefault="00A91522">
      <w:pPr>
        <w:pStyle w:val="Standard"/>
        <w:spacing w:before="100" w:after="0" w:line="240" w:lineRule="auto"/>
        <w:jc w:val="both"/>
      </w:pPr>
      <w:r w:rsidRPr="009C1EBA">
        <w:rPr>
          <w:rFonts w:ascii="Arial" w:hAnsi="Arial" w:cs="Arial"/>
          <w:sz w:val="21"/>
          <w:szCs w:val="21"/>
          <w:u w:val="single"/>
        </w:rPr>
        <w:t>indice di probabilità</w:t>
      </w:r>
      <w:r w:rsidRPr="009C1EBA">
        <w:rPr>
          <w:rFonts w:ascii="Arial" w:hAnsi="Arial" w:cs="Arial"/>
          <w:sz w:val="21"/>
          <w:szCs w:val="21"/>
        </w:rPr>
        <w:t>:</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probabilità da 0 a 0,05 (5%) il valore indicativo è 1, probabilità tenue;</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probabilità da 0,05 (5%) a 0,15 (15%) il valore indicativo è 2, probabilità media;</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probabilità da 0,15 (15%) a 1 (100%) il valore indicativo è 3, probabilità elevata.</w:t>
      </w:r>
    </w:p>
    <w:p w:rsidR="00917FEC" w:rsidRPr="009C1EBA" w:rsidRDefault="00A91522">
      <w:pPr>
        <w:pStyle w:val="Standard"/>
        <w:spacing w:before="100" w:after="0" w:line="240" w:lineRule="auto"/>
        <w:jc w:val="both"/>
      </w:pPr>
      <w:r w:rsidRPr="009C1EBA">
        <w:rPr>
          <w:rFonts w:ascii="Arial" w:hAnsi="Arial" w:cs="Arial"/>
          <w:sz w:val="21"/>
          <w:szCs w:val="21"/>
          <w:u w:val="single"/>
        </w:rPr>
        <w:t>indice di impatto</w:t>
      </w:r>
      <w:r w:rsidRPr="009C1EBA">
        <w:rPr>
          <w:rFonts w:ascii="Arial" w:hAnsi="Arial" w:cs="Arial"/>
          <w:sz w:val="21"/>
          <w:szCs w:val="21"/>
        </w:rPr>
        <w:t>:</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impatto sul totale da 0 a 0,33 (33%) il valore indicativo è 1, cioè impatto tenue;</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impatto sul totale da 0,33 (33%) a 0,66 (66%) il valore indicativo è 2, cioè impatto medio;</w:t>
      </w:r>
    </w:p>
    <w:p w:rsidR="00917FEC" w:rsidRPr="009C1EBA" w:rsidRDefault="00A91522">
      <w:pPr>
        <w:pStyle w:val="Standard"/>
        <w:spacing w:after="0" w:line="240" w:lineRule="auto"/>
        <w:jc w:val="both"/>
        <w:rPr>
          <w:rFonts w:ascii="Arial" w:hAnsi="Arial" w:cs="Arial"/>
          <w:sz w:val="21"/>
          <w:szCs w:val="21"/>
        </w:rPr>
      </w:pPr>
      <w:r w:rsidRPr="009C1EBA">
        <w:rPr>
          <w:rFonts w:ascii="Arial" w:hAnsi="Arial" w:cs="Arial"/>
          <w:sz w:val="21"/>
          <w:szCs w:val="21"/>
        </w:rPr>
        <w:t>•Con impatto sul totale da 0,66 (66%) a 1 (100%) il valore indicativo è 3, cioè impatto elevato.</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rsidR="00917FEC" w:rsidRPr="009C1EBA" w:rsidRDefault="00A91522">
      <w:pPr>
        <w:pStyle w:val="Standard"/>
        <w:spacing w:before="100" w:after="0" w:line="240" w:lineRule="auto"/>
        <w:jc w:val="both"/>
      </w:pPr>
      <w:r w:rsidRPr="009C1EBA">
        <w:rPr>
          <w:rFonts w:ascii="Arial" w:hAnsi="Arial" w:cs="Arial"/>
          <w:sz w:val="21"/>
          <w:szCs w:val="21"/>
        </w:rPr>
        <w:t>In quei processi nei quali si è già attuata, nel corso del 2017, qualche misura innovativa di contenimento e prevenzione del rischio, il rischio stesso è stato rivalutato, in special modo sul fattore della probabilità.</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Obiettivo primario del Piano Triennale di Prevenzione della Corruzione è garantire nel tempo, attraverso un sistema di controlli preventivi e di misure organizzative, il presidio del processo di monitoraggio e di verifica sull'integrità delle azioni e dei comportamenti del personale.</w:t>
      </w:r>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Ciò consente da un lato di prevenire i rischi per danni all'immagine derivanti da comportamenti scorretti o illegali del personale, dall’altro di rendere il sistema di azioni e misure sviluppate efficace e funzionale anche per il presidio della corretta gestione dell’Amministrazione.</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12" w:name="__RefHeading___Toc1962_761212699"/>
      <w:r w:rsidRPr="009C1EBA">
        <w:rPr>
          <w:i w:val="0"/>
          <w:sz w:val="21"/>
          <w:szCs w:val="21"/>
        </w:rPr>
        <w:t>7.4 AZIONI PREVENTIVE E CONTROLLI</w:t>
      </w:r>
      <w:bookmarkEnd w:id="12"/>
    </w:p>
    <w:p w:rsidR="00917FEC" w:rsidRPr="009C1EBA" w:rsidRDefault="00A91522">
      <w:pPr>
        <w:pStyle w:val="Standard"/>
        <w:tabs>
          <w:tab w:val="left" w:pos="1440"/>
        </w:tabs>
        <w:spacing w:before="100" w:after="0" w:line="240" w:lineRule="auto"/>
        <w:jc w:val="both"/>
      </w:pPr>
      <w:r w:rsidRPr="009C1EBA">
        <w:rPr>
          <w:rFonts w:ascii="Arial" w:hAnsi="Arial" w:cs="Arial"/>
          <w:sz w:val="21"/>
          <w:szCs w:val="21"/>
        </w:rPr>
        <w:t xml:space="preserve">Per ognuno dei processi della mappa identificato come “critico” in relazione al proprio indice di rischio, è stato definito un </w:t>
      </w:r>
      <w:r w:rsidRPr="009C1EBA">
        <w:rPr>
          <w:rFonts w:ascii="Arial" w:hAnsi="Arial" w:cs="Arial"/>
          <w:b/>
          <w:sz w:val="21"/>
          <w:szCs w:val="21"/>
        </w:rPr>
        <w:t>piano di azioni</w:t>
      </w:r>
      <w:r w:rsidRPr="009C1EBA">
        <w:rPr>
          <w:rFonts w:ascii="Arial" w:hAnsi="Arial" w:cs="Arial"/>
          <w:sz w:val="21"/>
          <w:szCs w:val="21"/>
        </w:rPr>
        <w:t xml:space="preserve"> che contempli almeno una azione per ogni rischio stimato come prevedibile (cioè con indice di rischio “alto” o “medio”, ma in alcuni casi anche “basso” ma meritevole di attenzione), progettando e sviluppando gli strumenti che rendano efficace tale azione o citando gli strumenti già in essere.</w:t>
      </w:r>
    </w:p>
    <w:p w:rsidR="00917FEC" w:rsidRPr="009C1EBA" w:rsidRDefault="00A91522">
      <w:pPr>
        <w:pStyle w:val="Standard"/>
        <w:tabs>
          <w:tab w:val="left" w:pos="1440"/>
        </w:tabs>
        <w:spacing w:before="100" w:after="0" w:line="240" w:lineRule="auto"/>
        <w:jc w:val="both"/>
      </w:pPr>
      <w:r w:rsidRPr="009C1EBA">
        <w:rPr>
          <w:rFonts w:ascii="Arial" w:hAnsi="Arial" w:cs="Arial"/>
          <w:sz w:val="21"/>
          <w:szCs w:val="21"/>
        </w:rPr>
        <w:t xml:space="preserve">Più specificatamente, per ogni processo, sono stati evidenziati i rischi, le azioni preventive, la previsione dei tempi e il titolare della misura. Tale strutturazione delle azioni e quantificazione dei risultati attesi rende possibile il </w:t>
      </w:r>
      <w:r w:rsidRPr="009C1EBA">
        <w:rPr>
          <w:rFonts w:ascii="Arial" w:hAnsi="Arial" w:cs="Arial"/>
          <w:b/>
          <w:sz w:val="21"/>
          <w:szCs w:val="21"/>
        </w:rPr>
        <w:t>monitoraggio periodico del Piano</w:t>
      </w:r>
      <w:r w:rsidRPr="009C1EBA">
        <w:rPr>
          <w:rFonts w:ascii="Arial" w:hAnsi="Arial" w:cs="Arial"/>
          <w:sz w:val="21"/>
          <w:szCs w:val="21"/>
        </w:rPr>
        <w:t xml:space="preserve"> di prevenzione della corruzione, in relazione alle scadenze temporali e alle responsabilità delle azioni e dei sistemi di controllo messe in evidenza nel piano stesso.</w:t>
      </w:r>
    </w:p>
    <w:p w:rsidR="00917FEC" w:rsidRPr="009C1EBA" w:rsidRDefault="00A91522">
      <w:pPr>
        <w:pStyle w:val="Standard"/>
        <w:tabs>
          <w:tab w:val="left" w:pos="1440"/>
        </w:tabs>
        <w:spacing w:before="100" w:after="0" w:line="240" w:lineRule="auto"/>
        <w:jc w:val="both"/>
        <w:rPr>
          <w:rFonts w:ascii="Arial" w:hAnsi="Arial" w:cs="Arial"/>
          <w:sz w:val="21"/>
          <w:szCs w:val="21"/>
        </w:rPr>
      </w:pPr>
      <w:r w:rsidRPr="009C1EBA">
        <w:rPr>
          <w:rFonts w:ascii="Arial" w:hAnsi="Arial" w:cs="Arial"/>
          <w:sz w:val="21"/>
          <w:szCs w:val="21"/>
        </w:rPr>
        <w:t>Attraverso l’attività di monitoraggio e valutazione dell’attuazione del Piano sarà possibile migliorare nel tempo la sua formalizzazione e la sua efficacia.</w:t>
      </w:r>
    </w:p>
    <w:p w:rsidR="00917FEC" w:rsidRPr="009C1EBA" w:rsidRDefault="00917FEC">
      <w:pPr>
        <w:pStyle w:val="Standard"/>
        <w:tabs>
          <w:tab w:val="left" w:pos="1440"/>
        </w:tabs>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13" w:name="__RefHeading___Toc1964_761212699"/>
      <w:r w:rsidRPr="009C1EBA">
        <w:rPr>
          <w:i w:val="0"/>
          <w:sz w:val="21"/>
          <w:szCs w:val="21"/>
        </w:rPr>
        <w:lastRenderedPageBreak/>
        <w:t>7.5 STESURA E APPROVAZIONE DEL PTPTC</w:t>
      </w:r>
      <w:bookmarkEnd w:id="13"/>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La stesura del presente Piano Triennale di prevenzione della corruzione è stata quindi realizzata partendo dal primo Piano approvato nel gennaio del 2014, mettendo a sistema gran parte delle azioni operative ivi previste per il 2014, valutando la fattibilità di quelle che dovevano realizzarsi nel corso del 2016 e rivalutando concretamente la fattibilità di quelle da concretizzarsi nei successivi 2017 e 2018. Particolare attenzione è stata posta nel garantire la “fattibilità” delle azioni previste, sia in termini operativi che finanziari (evitando spese o investimenti non coerenti con le possibilità finanziarie dell’Ente), attraverso la verifica della coerenza rispetto agli altri strumenti di programmazione dell’Ente (Relazione Previsionale e Programmatica, Bilancio di previsione, Atto di indirizzo generale, ecc.).</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14" w:name="__RefHeading___Toc1966_761212699"/>
      <w:r w:rsidRPr="009C1EBA">
        <w:rPr>
          <w:i w:val="0"/>
          <w:sz w:val="21"/>
          <w:szCs w:val="21"/>
        </w:rPr>
        <w:t>7.6 FORMAZIONE</w:t>
      </w:r>
      <w:bookmarkEnd w:id="14"/>
    </w:p>
    <w:p w:rsidR="00917FEC" w:rsidRPr="009C1EBA" w:rsidRDefault="00A91522">
      <w:pPr>
        <w:pStyle w:val="Standard"/>
        <w:autoSpaceDE w:val="0"/>
        <w:spacing w:before="100" w:after="0" w:line="240" w:lineRule="auto"/>
        <w:jc w:val="both"/>
        <w:rPr>
          <w:rFonts w:ascii="Arial" w:hAnsi="Arial" w:cs="Arial"/>
          <w:sz w:val="21"/>
          <w:szCs w:val="21"/>
        </w:rPr>
      </w:pPr>
      <w:r w:rsidRPr="009C1EBA">
        <w:rPr>
          <w:rFonts w:ascii="Arial" w:hAnsi="Arial" w:cs="Arial"/>
          <w:sz w:val="21"/>
          <w:szCs w:val="21"/>
        </w:rPr>
        <w:t>Al fine di massimizzare l’impatto del Piano, è stata avviata nel corso dei primi mesi del 2016, anche grazie alla disponibilità del Consorzio dei Comuni Trentini, un’attività di informazione/formazione sui contenuti del Piano rivolta a tutti i dipendenti. La registrazione delle presenze consentirà di assolvere ad uno degli obblighi previsti dalla L. 190/2012 e ribadito dalla circolare della Funzione Pubblica del 25 gennaio 2013.</w:t>
      </w:r>
    </w:p>
    <w:p w:rsidR="00917FEC" w:rsidRPr="009C1EBA" w:rsidRDefault="00A91522">
      <w:pPr>
        <w:pStyle w:val="Standard"/>
        <w:autoSpaceDE w:val="0"/>
        <w:spacing w:before="100" w:after="0" w:line="240" w:lineRule="auto"/>
        <w:jc w:val="both"/>
      </w:pPr>
      <w:r w:rsidRPr="009C1EBA">
        <w:rPr>
          <w:rFonts w:ascii="Arial" w:hAnsi="Arial" w:cs="Arial"/>
          <w:sz w:val="21"/>
          <w:szCs w:val="21"/>
        </w:rPr>
        <w:t>Saranno programmati anche nel triennio 2018-2020, grazie alla collaborazione progettuale del Consorzio dei Comuni, interventi formativi obbligatori per il personale e per gli amministratori sulle tematiche della trasparenza, dell’integrità e del nuovo accesso civico, sia dal punto di vista della conoscenza della normativa e degli strumenti previsti nel Piano che dal punto di vista valoriale, in modo da accrescere la consapevolezza del senso etico nell’agire quotidiano nell’organizzazione e nei rapporti con l’utenza</w:t>
      </w:r>
    </w:p>
    <w:p w:rsidR="00917FEC" w:rsidRPr="009C1EBA" w:rsidRDefault="00917FEC">
      <w:pPr>
        <w:pStyle w:val="Standard"/>
        <w:autoSpaceDE w:val="0"/>
        <w:spacing w:before="100" w:after="0" w:line="240" w:lineRule="auto"/>
        <w:jc w:val="both"/>
        <w:rPr>
          <w:rFonts w:ascii="Arial" w:hAnsi="Arial" w:cs="Arial"/>
          <w:sz w:val="21"/>
          <w:szCs w:val="21"/>
        </w:rPr>
      </w:pPr>
    </w:p>
    <w:p w:rsidR="00917FEC" w:rsidRPr="009C1EBA" w:rsidRDefault="00A91522">
      <w:pPr>
        <w:pStyle w:val="Titolo1"/>
      </w:pPr>
      <w:bookmarkStart w:id="15" w:name="__RefHeading___Toc1968_761212699"/>
      <w:r w:rsidRPr="009C1EBA">
        <w:rPr>
          <w:rFonts w:ascii="Arial" w:hAnsi="Arial" w:cs="Arial"/>
          <w:sz w:val="24"/>
          <w:szCs w:val="24"/>
        </w:rPr>
        <w:t>8. LE MISURE ORGANIZZATIVE DI CARATTERE GENERALE</w:t>
      </w:r>
      <w:bookmarkEnd w:id="15"/>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Si riportano di seguito le misure organizzative di carattere generale che l’Amministrazione Comunale intende mettere in atto, in coerenza con quanto previsto dalla L. 190/2012 e con la propria dimensione organizzativa.</w:t>
      </w:r>
    </w:p>
    <w:p w:rsidR="00917FEC" w:rsidRPr="009C1EBA" w:rsidRDefault="00917FEC">
      <w:pPr>
        <w:pStyle w:val="Default"/>
        <w:spacing w:before="100" w:after="0" w:line="240" w:lineRule="auto"/>
        <w:rPr>
          <w:rFonts w:ascii="Arial" w:hAnsi="Arial" w:cs="Arial"/>
          <w:color w:val="auto"/>
          <w:sz w:val="21"/>
          <w:szCs w:val="21"/>
        </w:rPr>
      </w:pPr>
    </w:p>
    <w:p w:rsidR="00917FEC" w:rsidRPr="009C1EBA" w:rsidRDefault="00A91522">
      <w:pPr>
        <w:pStyle w:val="Titolo2"/>
        <w:rPr>
          <w:i w:val="0"/>
          <w:sz w:val="21"/>
          <w:szCs w:val="21"/>
        </w:rPr>
      </w:pPr>
      <w:bookmarkStart w:id="16" w:name="__RefHeading___Toc1970_761212699"/>
      <w:r w:rsidRPr="009C1EBA">
        <w:rPr>
          <w:i w:val="0"/>
          <w:sz w:val="21"/>
          <w:szCs w:val="21"/>
        </w:rPr>
        <w:t>8.1. ROTAZIONE DEL PERSONALE</w:t>
      </w:r>
      <w:bookmarkEnd w:id="16"/>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Rispetto a quanto auspicato dalla normativa in merito all’adozione di adeguati sistemi di rotazione del personale addetto alle aree a rischio, si rileva la materiale impossibilità di procedere in tal senso alla luce dell’esiguità della propria dotazione organica.</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Pur tuttavia, l’amministrazione comunale si impegna a valutare nel medio periodo la possibilità di rinforzare attraverso specifici interventi formativi e laddove possibile una parziale fungibilità degli addetti nei processi a contatto con la cittadinanza. Si cercherà di sopperire a tale impossibilità tramite il rinforzo dell’attività di controllo così come evidenziata nello specifico nelle azioni messe in campo nella seconda parte del presente Piano.</w:t>
      </w:r>
    </w:p>
    <w:p w:rsidR="00917FEC" w:rsidRPr="009C1EBA" w:rsidRDefault="00A91522">
      <w:pPr>
        <w:pStyle w:val="Standard"/>
        <w:spacing w:before="100" w:after="0" w:line="240" w:lineRule="auto"/>
        <w:jc w:val="both"/>
      </w:pPr>
      <w:r w:rsidRPr="009C1EBA">
        <w:rPr>
          <w:rFonts w:ascii="Arial" w:hAnsi="Arial" w:cs="Arial"/>
          <w:sz w:val="21"/>
          <w:szCs w:val="21"/>
        </w:rPr>
        <w:t>L’aspetto</w:t>
      </w:r>
      <w:r w:rsidRPr="009C1EBA">
        <w:rPr>
          <w:rFonts w:ascii="Arial" w:hAnsi="Arial" w:cs="Arial"/>
          <w:b/>
          <w:sz w:val="21"/>
          <w:szCs w:val="21"/>
        </w:rPr>
        <w:t xml:space="preserve"> </w:t>
      </w:r>
      <w:r w:rsidRPr="009C1EBA">
        <w:rPr>
          <w:rFonts w:ascii="Arial" w:hAnsi="Arial" w:cs="Arial"/>
          <w:sz w:val="21"/>
          <w:szCs w:val="21"/>
        </w:rPr>
        <w:t>formativo si ritiene essenziale per il mantenimento e lo sviluppo del Piano nel tempo, pertanto, dato atto che la L. 190/2012 attribuisce particolare importanza alla formazione del personale addetto alle aree a più elevato rischio, si presta – relativamente alla formazione -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917FEC" w:rsidRPr="009C1EBA" w:rsidRDefault="00917FEC">
      <w:pPr>
        <w:pStyle w:val="Default"/>
        <w:spacing w:before="100" w:after="0" w:line="240" w:lineRule="auto"/>
        <w:rPr>
          <w:rFonts w:ascii="Arial" w:hAnsi="Arial" w:cs="Arial"/>
          <w:color w:val="auto"/>
          <w:sz w:val="21"/>
          <w:szCs w:val="21"/>
        </w:rPr>
      </w:pPr>
    </w:p>
    <w:p w:rsidR="00917FEC" w:rsidRPr="009C1EBA" w:rsidRDefault="00A91522">
      <w:pPr>
        <w:pStyle w:val="Titolo2"/>
        <w:rPr>
          <w:i w:val="0"/>
        </w:rPr>
      </w:pPr>
      <w:bookmarkStart w:id="17" w:name="__RefHeading___Toc1972_761212699"/>
      <w:r w:rsidRPr="009C1EBA">
        <w:rPr>
          <w:i w:val="0"/>
        </w:rPr>
        <w:t>8.2 TRASPARENZA</w:t>
      </w:r>
      <w:bookmarkEnd w:id="17"/>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 xml:space="preserve">L’Amministrazione si impegna, partendo da quanto indicato nell’art. 1, comma 9, della Legge  n° 190/2012, ad applicare operativamente le prescrizioni in tema di trasparenza secondo quanto previsto dall’art. 7 </w:t>
      </w:r>
      <w:r w:rsidRPr="009C1EBA">
        <w:rPr>
          <w:rFonts w:ascii="Arial" w:hAnsi="Arial" w:cs="Arial"/>
          <w:color w:val="auto"/>
          <w:sz w:val="21"/>
          <w:szCs w:val="21"/>
        </w:rPr>
        <w:lastRenderedPageBreak/>
        <w:t>della L.R. 13 dicembre 2012, n. 8 (Amministrazione Aperta), così come modificata dalla L.R. 29 ottobre 2014 n°10, tenendo altresì conto delle disposizioni specifiche in materia adottate in sede provinciale ai sensi dell’articolo 59 della L.R. 22 dicembre 2004, n° 7.</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Ad ogni buon fine si dà atto che all’interno di ogni ufficio sarà individuato un dipendente cui sono state affidate le mansioni relative al popolamento del sito web istituzionale nella sezione Amministrazione trasparente.</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Tutti gli uffici comunali dovranno dare attuazione agli obblighi di trasparenza di propria competenza di cui all'allegato “Elenco obblighi di pubblicazione in Amministrazione Trasparente” e disciplinati dal D.Lgs. n° 33/2013, così come novellato dal D.Lgs. n° 97/2016. Tenuto conto della normativa emanata dalla Regione T.A.A. e dalla PAT.</w:t>
      </w:r>
    </w:p>
    <w:p w:rsidR="00BA2799"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 xml:space="preserve">Per quanto concerne le modalità di gestione e di individuazione dei flussi informativi relativamente agli obblighi di pubblicazione nelle pagine del sito istituzionale, “Amministrazione Trasparente”, </w:t>
      </w:r>
      <w:r w:rsidR="00BA2799" w:rsidRPr="009C1EBA">
        <w:rPr>
          <w:rFonts w:ascii="Arial" w:hAnsi="Arial" w:cs="Arial"/>
          <w:color w:val="auto"/>
          <w:sz w:val="21"/>
          <w:szCs w:val="21"/>
        </w:rPr>
        <w:t xml:space="preserve">essi </w:t>
      </w:r>
      <w:r w:rsidRPr="009C1EBA">
        <w:rPr>
          <w:rFonts w:ascii="Arial" w:hAnsi="Arial" w:cs="Arial"/>
          <w:color w:val="auto"/>
          <w:sz w:val="21"/>
          <w:szCs w:val="21"/>
        </w:rPr>
        <w:t xml:space="preserve">sono individuati </w:t>
      </w:r>
      <w:r w:rsidR="00BA2799" w:rsidRPr="009C1EBA">
        <w:rPr>
          <w:rFonts w:ascii="Arial" w:hAnsi="Arial" w:cs="Arial"/>
          <w:color w:val="auto"/>
          <w:sz w:val="21"/>
          <w:szCs w:val="21"/>
        </w:rPr>
        <w:t>come segue:</w:t>
      </w:r>
    </w:p>
    <w:p w:rsidR="00BA2799" w:rsidRPr="009C1EBA" w:rsidRDefault="00BA2799">
      <w:pPr>
        <w:pStyle w:val="Default"/>
        <w:spacing w:before="100" w:after="0" w:line="240" w:lineRule="auto"/>
        <w:rPr>
          <w:rFonts w:ascii="Arial" w:hAnsi="Arial" w:cs="Arial"/>
          <w:color w:val="auto"/>
          <w:sz w:val="21"/>
          <w:szCs w:val="21"/>
        </w:rPr>
      </w:pPr>
    </w:p>
    <w:p w:rsidR="00BA2799" w:rsidRPr="009C1EBA" w:rsidRDefault="00BA2799">
      <w:pPr>
        <w:pStyle w:val="Default"/>
        <w:spacing w:before="100" w:after="0" w:line="240" w:lineRule="auto"/>
        <w:rPr>
          <w:rFonts w:ascii="Arial" w:hAnsi="Arial" w:cs="Arial"/>
          <w:color w:val="auto"/>
          <w:sz w:val="21"/>
          <w:szCs w:val="21"/>
        </w:rPr>
      </w:pPr>
    </w:p>
    <w:p w:rsidR="00BA2799" w:rsidRPr="009C1EBA" w:rsidRDefault="00BA2799">
      <w:pPr>
        <w:pStyle w:val="Default"/>
        <w:spacing w:before="100" w:after="0" w:line="240" w:lineRule="auto"/>
        <w:rPr>
          <w:rFonts w:ascii="Arial" w:hAnsi="Arial" w:cs="Arial"/>
          <w:color w:val="auto"/>
          <w:sz w:val="21"/>
          <w:szCs w:val="21"/>
        </w:rPr>
      </w:pPr>
    </w:p>
    <w:p w:rsidR="00BA2799" w:rsidRPr="009C1EBA" w:rsidRDefault="00BA2799" w:rsidP="00BA2799">
      <w:pPr>
        <w:jc w:val="center"/>
        <w:rPr>
          <w:b/>
        </w:rPr>
      </w:pPr>
      <w:r w:rsidRPr="009C1EBA">
        <w:rPr>
          <w:b/>
        </w:rPr>
        <w:t>TABELLA FLUSSI INFORMATIVI TRASPARENZA – COMUNE DI CINTE TESINO</w:t>
      </w:r>
    </w:p>
    <w:p w:rsidR="00BA2799" w:rsidRPr="009C1EBA" w:rsidRDefault="00BA2799" w:rsidP="00BA2799">
      <w:pPr>
        <w:jc w:val="center"/>
        <w:rPr>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275"/>
        <w:gridCol w:w="1419"/>
        <w:gridCol w:w="1698"/>
        <w:gridCol w:w="1408"/>
      </w:tblGrid>
      <w:tr w:rsidR="009C1EBA" w:rsidRPr="009C1EBA" w:rsidTr="00841BD8">
        <w:tc>
          <w:tcPr>
            <w:tcW w:w="1988" w:type="pct"/>
          </w:tcPr>
          <w:p w:rsidR="00BA2799" w:rsidRPr="009C1EBA" w:rsidRDefault="00BA2799" w:rsidP="00BA2799">
            <w:pPr>
              <w:jc w:val="center"/>
              <w:rPr>
                <w:rFonts w:ascii="Arial Narrow" w:hAnsi="Arial Narrow" w:cs="Times New Roman"/>
                <w:b/>
                <w:sz w:val="20"/>
                <w:szCs w:val="20"/>
              </w:rPr>
            </w:pPr>
          </w:p>
          <w:p w:rsidR="00BA2799" w:rsidRPr="009C1EBA" w:rsidRDefault="00BA2799" w:rsidP="00BA2799">
            <w:pPr>
              <w:jc w:val="center"/>
              <w:rPr>
                <w:rFonts w:ascii="Arial Narrow" w:hAnsi="Arial Narrow" w:cs="Times New Roman"/>
                <w:b/>
                <w:sz w:val="20"/>
                <w:szCs w:val="20"/>
              </w:rPr>
            </w:pPr>
            <w:r w:rsidRPr="009C1EBA">
              <w:rPr>
                <w:rFonts w:ascii="Arial Narrow" w:hAnsi="Arial Narrow" w:cs="Times New Roman"/>
                <w:b/>
                <w:sz w:val="20"/>
                <w:szCs w:val="20"/>
              </w:rPr>
              <w:t>ADEMPIMENTO</w:t>
            </w:r>
          </w:p>
          <w:p w:rsidR="00BA2799" w:rsidRPr="009C1EBA" w:rsidRDefault="00BA2799" w:rsidP="00BA2799">
            <w:pPr>
              <w:jc w:val="center"/>
              <w:rPr>
                <w:rFonts w:ascii="Arial Narrow" w:hAnsi="Arial Narrow" w:cs="Times New Roman"/>
                <w:b/>
                <w:sz w:val="20"/>
                <w:szCs w:val="20"/>
              </w:rPr>
            </w:pPr>
          </w:p>
        </w:tc>
        <w:tc>
          <w:tcPr>
            <w:tcW w:w="662" w:type="pct"/>
          </w:tcPr>
          <w:p w:rsidR="00BA2799" w:rsidRPr="009C1EBA" w:rsidRDefault="00BA2799" w:rsidP="00841BD8">
            <w:pPr>
              <w:ind w:left="-66"/>
              <w:jc w:val="center"/>
              <w:rPr>
                <w:rFonts w:ascii="Arial Narrow" w:hAnsi="Arial Narrow"/>
                <w:b/>
                <w:sz w:val="20"/>
                <w:szCs w:val="20"/>
              </w:rPr>
            </w:pPr>
          </w:p>
          <w:p w:rsidR="00BA2799" w:rsidRPr="009C1EBA" w:rsidRDefault="00BA2799" w:rsidP="00841BD8">
            <w:pPr>
              <w:ind w:left="-66"/>
              <w:jc w:val="center"/>
              <w:rPr>
                <w:rFonts w:ascii="Arial Narrow" w:hAnsi="Arial Narrow"/>
                <w:b/>
                <w:sz w:val="20"/>
                <w:szCs w:val="20"/>
              </w:rPr>
            </w:pPr>
            <w:r w:rsidRPr="009C1EBA">
              <w:rPr>
                <w:rFonts w:ascii="Arial Narrow" w:hAnsi="Arial Narrow"/>
                <w:b/>
                <w:sz w:val="20"/>
                <w:szCs w:val="20"/>
              </w:rPr>
              <w:t>STRUTTURA</w:t>
            </w:r>
          </w:p>
        </w:tc>
        <w:tc>
          <w:tcPr>
            <w:tcW w:w="737" w:type="pct"/>
          </w:tcPr>
          <w:p w:rsidR="00BA2799" w:rsidRPr="009C1EBA" w:rsidRDefault="00BA2799" w:rsidP="00BA2799">
            <w:pPr>
              <w:ind w:left="-99" w:right="-56"/>
              <w:jc w:val="center"/>
              <w:rPr>
                <w:rFonts w:ascii="Arial Narrow" w:hAnsi="Arial Narrow"/>
                <w:b/>
                <w:sz w:val="20"/>
                <w:szCs w:val="20"/>
              </w:rPr>
            </w:pPr>
          </w:p>
          <w:p w:rsidR="00BA2799" w:rsidRPr="009C1EBA" w:rsidRDefault="00BA2799" w:rsidP="00BA2799">
            <w:pPr>
              <w:ind w:left="-99" w:right="-56"/>
              <w:jc w:val="center"/>
              <w:rPr>
                <w:rFonts w:ascii="Arial Narrow" w:hAnsi="Arial Narrow"/>
                <w:b/>
                <w:sz w:val="20"/>
                <w:szCs w:val="20"/>
              </w:rPr>
            </w:pPr>
            <w:r w:rsidRPr="009C1EBA">
              <w:rPr>
                <w:rFonts w:ascii="Arial Narrow" w:hAnsi="Arial Narrow"/>
                <w:b/>
                <w:sz w:val="20"/>
                <w:szCs w:val="20"/>
              </w:rPr>
              <w:t>RESPONSABILE</w:t>
            </w:r>
          </w:p>
        </w:tc>
        <w:tc>
          <w:tcPr>
            <w:tcW w:w="882" w:type="pct"/>
          </w:tcPr>
          <w:p w:rsidR="00BA2799" w:rsidRPr="009C1EBA" w:rsidRDefault="00BA2799" w:rsidP="00BA2799">
            <w:pPr>
              <w:jc w:val="center"/>
              <w:rPr>
                <w:rFonts w:ascii="Arial Narrow" w:hAnsi="Arial Narrow"/>
                <w:b/>
                <w:sz w:val="20"/>
                <w:szCs w:val="20"/>
              </w:rPr>
            </w:pPr>
          </w:p>
          <w:p w:rsidR="00BA2799" w:rsidRPr="009C1EBA" w:rsidRDefault="00BA2799" w:rsidP="00BA2799">
            <w:pPr>
              <w:jc w:val="center"/>
              <w:rPr>
                <w:rFonts w:ascii="Arial Narrow" w:hAnsi="Arial Narrow"/>
                <w:b/>
                <w:sz w:val="20"/>
                <w:szCs w:val="20"/>
              </w:rPr>
            </w:pPr>
            <w:r w:rsidRPr="009C1EBA">
              <w:rPr>
                <w:rFonts w:ascii="Arial Narrow" w:hAnsi="Arial Narrow"/>
                <w:b/>
                <w:sz w:val="20"/>
                <w:szCs w:val="20"/>
              </w:rPr>
              <w:t>CADENZA AGGIORNAMENTI</w:t>
            </w:r>
          </w:p>
          <w:p w:rsidR="00BA2799" w:rsidRPr="009C1EBA" w:rsidRDefault="00BA2799" w:rsidP="00BA2799">
            <w:pPr>
              <w:jc w:val="center"/>
              <w:rPr>
                <w:rFonts w:ascii="Arial Narrow" w:hAnsi="Arial Narrow"/>
                <w:b/>
                <w:sz w:val="20"/>
                <w:szCs w:val="20"/>
              </w:rPr>
            </w:pPr>
          </w:p>
        </w:tc>
        <w:tc>
          <w:tcPr>
            <w:tcW w:w="731" w:type="pct"/>
          </w:tcPr>
          <w:p w:rsidR="00BA2799" w:rsidRPr="009C1EBA" w:rsidRDefault="00BA2799" w:rsidP="00BA2799">
            <w:pPr>
              <w:jc w:val="center"/>
              <w:rPr>
                <w:rFonts w:ascii="Arial Narrow" w:hAnsi="Arial Narrow"/>
                <w:b/>
                <w:sz w:val="20"/>
                <w:szCs w:val="20"/>
              </w:rPr>
            </w:pPr>
          </w:p>
          <w:p w:rsidR="00BA2799" w:rsidRPr="009C1EBA" w:rsidRDefault="00BA2799" w:rsidP="00BA2799">
            <w:pPr>
              <w:jc w:val="center"/>
              <w:rPr>
                <w:rFonts w:ascii="Arial Narrow" w:hAnsi="Arial Narrow"/>
                <w:b/>
                <w:sz w:val="20"/>
                <w:szCs w:val="20"/>
              </w:rPr>
            </w:pPr>
            <w:r w:rsidRPr="009C1EBA">
              <w:rPr>
                <w:rFonts w:ascii="Arial Narrow" w:hAnsi="Arial Narrow"/>
                <w:b/>
                <w:sz w:val="20"/>
                <w:szCs w:val="20"/>
              </w:rPr>
              <w:t>FREQUENZA MONITORAGGI</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Incarichi di collaborazione e consulenza</w:t>
            </w:r>
          </w:p>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(art. 15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 xml:space="preserve">Settore segreteria, personale e contratti </w:t>
            </w:r>
          </w:p>
        </w:tc>
        <w:tc>
          <w:tcPr>
            <w:tcW w:w="737" w:type="pct"/>
            <w:vAlign w:val="center"/>
          </w:tcPr>
          <w:p w:rsidR="00BA2799" w:rsidRPr="009C1EBA" w:rsidRDefault="00BA2799" w:rsidP="009C1EBA">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tempestiva e comunque non oltre tre mesi dal conferimento dell’incarico</w:t>
            </w:r>
          </w:p>
        </w:tc>
        <w:tc>
          <w:tcPr>
            <w:tcW w:w="731"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trimestrale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Atti di concessione di sovvenzioni, contributi, sussidi e attribuzione di vantaggi economici a persone fisiche ed enti pubblici e privati (art. 26 D.Lgs. 14.03.2013 n. 33 e s.</w:t>
            </w:r>
            <w:r w:rsidR="00841BD8" w:rsidRPr="009C1EBA">
              <w:rPr>
                <w:rFonts w:ascii="Arial Narrow" w:hAnsi="Arial Narrow" w:cs="Times New Roman"/>
                <w:sz w:val="20"/>
                <w:szCs w:val="20"/>
              </w:rPr>
              <w:t>s.m</w:t>
            </w:r>
            <w:r w:rsidRPr="009C1EBA">
              <w:rPr>
                <w:rFonts w:ascii="Arial Narrow" w:hAnsi="Arial Narrow" w:cs="Times New Roman"/>
                <w:sz w:val="20"/>
                <w:szCs w:val="20"/>
              </w:rPr>
              <w:t>m</w:t>
            </w:r>
            <w:r w:rsidR="00841BD8" w:rsidRPr="009C1EBA">
              <w:rPr>
                <w:rFonts w:ascii="Arial Narrow" w:hAnsi="Arial Narrow" w:cs="Times New Roman"/>
                <w:sz w:val="20"/>
                <w:szCs w:val="20"/>
              </w:rPr>
              <w:t>.</w:t>
            </w:r>
            <w:r w:rsidRPr="009C1EBA">
              <w:rPr>
                <w:rFonts w:ascii="Arial Narrow" w:hAnsi="Arial Narrow" w:cs="Times New Roman"/>
                <w:sz w:val="20"/>
                <w:szCs w:val="20"/>
              </w:rPr>
              <w:t xml:space="preserve">,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mensile</w:t>
            </w:r>
          </w:p>
        </w:tc>
        <w:tc>
          <w:tcPr>
            <w:tcW w:w="731"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semestrale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Organizzazione/dati relativi agli organi di indirizzo politico-amministrativo </w:t>
            </w:r>
            <w:r w:rsidR="00841BD8" w:rsidRPr="009C1EBA">
              <w:rPr>
                <w:rFonts w:ascii="Arial Narrow" w:hAnsi="Arial Narrow" w:cs="Times New Roman"/>
                <w:sz w:val="20"/>
                <w:szCs w:val="20"/>
              </w:rPr>
              <w:t>[</w:t>
            </w:r>
            <w:r w:rsidRPr="009C1EBA">
              <w:rPr>
                <w:rFonts w:ascii="Arial Narrow" w:hAnsi="Arial Narrow" w:cs="Times New Roman"/>
                <w:sz w:val="20"/>
                <w:szCs w:val="20"/>
              </w:rPr>
              <w:t>curriculum, atto di nomina, indennità di carica, rimborso spese di viaggio e di missione, spese di rappresentanza, eventuale assunzione di altre cariche</w:t>
            </w:r>
            <w:r w:rsidR="00841BD8" w:rsidRPr="009C1EBA">
              <w:rPr>
                <w:rFonts w:ascii="Arial Narrow" w:hAnsi="Arial Narrow" w:cs="Times New Roman"/>
                <w:sz w:val="20"/>
                <w:szCs w:val="20"/>
              </w:rPr>
              <w:t xml:space="preserve">], </w:t>
            </w:r>
            <w:r w:rsidRPr="009C1EBA">
              <w:rPr>
                <w:rFonts w:ascii="Arial Narrow" w:hAnsi="Arial Narrow" w:cs="Times New Roman"/>
                <w:sz w:val="20"/>
                <w:szCs w:val="20"/>
              </w:rPr>
              <w:t xml:space="preserve">(art. 14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mensile</w:t>
            </w:r>
          </w:p>
        </w:tc>
        <w:tc>
          <w:tcPr>
            <w:tcW w:w="731"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semestrale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Bandi di concorso</w:t>
            </w:r>
            <w:r w:rsidR="00841BD8" w:rsidRPr="009C1EBA">
              <w:rPr>
                <w:rFonts w:ascii="Arial Narrow" w:hAnsi="Arial Narrow" w:cs="Times New Roman"/>
                <w:sz w:val="20"/>
                <w:szCs w:val="20"/>
              </w:rPr>
              <w:t xml:space="preserve"> </w:t>
            </w:r>
            <w:r w:rsidRPr="009C1EBA">
              <w:rPr>
                <w:rFonts w:ascii="Arial Narrow" w:hAnsi="Arial Narrow" w:cs="Times New Roman"/>
                <w:sz w:val="20"/>
                <w:szCs w:val="20"/>
              </w:rPr>
              <w:t xml:space="preserve">(art. 19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tempestiva</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semestrale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lang w:val="en-US"/>
              </w:rPr>
            </w:pPr>
            <w:r w:rsidRPr="009C1EBA">
              <w:rPr>
                <w:rFonts w:ascii="Arial Narrow" w:hAnsi="Arial Narrow" w:cs="Times New Roman"/>
                <w:sz w:val="20"/>
                <w:szCs w:val="20"/>
                <w:lang w:val="en-US"/>
              </w:rPr>
              <w:t>Performance</w:t>
            </w:r>
            <w:r w:rsidR="00841BD8" w:rsidRPr="009C1EBA">
              <w:rPr>
                <w:rFonts w:ascii="Arial Narrow" w:hAnsi="Arial Narrow" w:cs="Times New Roman"/>
                <w:sz w:val="20"/>
                <w:szCs w:val="20"/>
                <w:lang w:val="en-US"/>
              </w:rPr>
              <w:t xml:space="preserve"> </w:t>
            </w:r>
            <w:r w:rsidRPr="009C1EBA">
              <w:rPr>
                <w:rFonts w:ascii="Arial Narrow" w:hAnsi="Arial Narrow" w:cs="Times New Roman"/>
                <w:sz w:val="20"/>
                <w:szCs w:val="20"/>
                <w:lang w:val="en-US"/>
              </w:rPr>
              <w:t xml:space="preserve">(art. 20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lang w:val="en-US"/>
                </w:rPr>
                <w:t>1 L</w:t>
              </w:r>
            </w:smartTag>
            <w:r w:rsidRPr="009C1EBA">
              <w:rPr>
                <w:rFonts w:ascii="Arial Narrow" w:hAnsi="Arial Narrow" w:cs="Times New Roman"/>
                <w:sz w:val="20"/>
                <w:szCs w:val="20"/>
                <w:lang w:val="en-US"/>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Personale – incarichi amministrativi di vertice, dirigenti, posizioni organizzative</w:t>
            </w:r>
            <w:r w:rsidR="00841BD8" w:rsidRPr="009C1EBA">
              <w:rPr>
                <w:rFonts w:ascii="Arial Narrow" w:hAnsi="Arial Narrow" w:cs="Times New Roman"/>
                <w:sz w:val="20"/>
                <w:szCs w:val="20"/>
              </w:rPr>
              <w:t xml:space="preserve"> </w:t>
            </w:r>
            <w:r w:rsidRPr="009C1EBA">
              <w:rPr>
                <w:rFonts w:ascii="Arial Narrow" w:hAnsi="Arial Narrow" w:cs="Times New Roman"/>
                <w:sz w:val="20"/>
                <w:szCs w:val="20"/>
              </w:rPr>
              <w:t>(art. 14 D.Lgs. 14.03.2013 n. 33 e ss. mm., art. 1 L.R.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Personale – tassi di assenza (art. 16, comma 3,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 xml:space="preserve">Settore segreteria, personale e </w:t>
            </w:r>
            <w:r w:rsidRPr="009C1EBA">
              <w:rPr>
                <w:rFonts w:ascii="Arial Narrow" w:hAnsi="Arial Narrow"/>
                <w:sz w:val="20"/>
                <w:szCs w:val="20"/>
              </w:rPr>
              <w:lastRenderedPageBreak/>
              <w:t>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lastRenderedPageBreak/>
              <w:t>dott. Bruno Zampedri</w:t>
            </w:r>
          </w:p>
        </w:tc>
        <w:tc>
          <w:tcPr>
            <w:tcW w:w="882"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trimestrale</w:t>
            </w:r>
          </w:p>
        </w:tc>
        <w:tc>
          <w:tcPr>
            <w:tcW w:w="731"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trimestrale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Personale – incarichi conferiti ed autorizzati ai dipendenti</w:t>
            </w:r>
            <w:r w:rsidR="00841BD8" w:rsidRPr="009C1EBA">
              <w:rPr>
                <w:rFonts w:ascii="Arial Narrow" w:hAnsi="Arial Narrow" w:cs="Times New Roman"/>
                <w:sz w:val="20"/>
                <w:szCs w:val="20"/>
              </w:rPr>
              <w:t xml:space="preserve"> </w:t>
            </w:r>
            <w:r w:rsidRPr="009C1EBA">
              <w:rPr>
                <w:rFonts w:ascii="Arial Narrow" w:hAnsi="Arial Narrow" w:cs="Times New Roman"/>
                <w:sz w:val="20"/>
                <w:szCs w:val="20"/>
              </w:rPr>
              <w:t xml:space="preserve">(art. 18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tempestivo</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mensile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Personale – altri dati (dotazione organica, personale non a tempo indeterminato, contrattazione collettiva, contrattazione integrativa)</w:t>
            </w:r>
          </w:p>
          <w:p w:rsidR="00BA2799" w:rsidRPr="009C1EBA" w:rsidRDefault="00BA2799" w:rsidP="00841BD8">
            <w:pPr>
              <w:jc w:val="both"/>
              <w:rPr>
                <w:rFonts w:ascii="Arial Narrow" w:hAnsi="Arial Narrow" w:cs="Times New Roman"/>
                <w:sz w:val="20"/>
                <w:szCs w:val="20"/>
                <w:lang w:val="en-US"/>
              </w:rPr>
            </w:pPr>
            <w:r w:rsidRPr="009C1EBA">
              <w:rPr>
                <w:rFonts w:ascii="Arial Narrow" w:hAnsi="Arial Narrow" w:cs="Times New Roman"/>
                <w:sz w:val="20"/>
                <w:szCs w:val="20"/>
              </w:rPr>
              <w:t xml:space="preserve"> </w:t>
            </w:r>
            <w:r w:rsidRPr="009C1EBA">
              <w:rPr>
                <w:rFonts w:ascii="Arial Narrow" w:hAnsi="Arial Narrow" w:cs="Times New Roman"/>
                <w:sz w:val="20"/>
                <w:szCs w:val="20"/>
                <w:lang w:val="en-US"/>
              </w:rPr>
              <w:t xml:space="preserve">(art. 16, art. 17, art. 21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lang w:val="en-US"/>
                </w:rPr>
                <w:t>1 L</w:t>
              </w:r>
            </w:smartTag>
            <w:r w:rsidRPr="009C1EBA">
              <w:rPr>
                <w:rFonts w:ascii="Arial Narrow" w:hAnsi="Arial Narrow" w:cs="Times New Roman"/>
                <w:sz w:val="20"/>
                <w:szCs w:val="20"/>
                <w:lang w:val="en-US"/>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rPr>
          <w:trHeight w:val="1905"/>
        </w:trPr>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Albo dei beneficiari</w:t>
            </w:r>
          </w:p>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 (art. 27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BA2799"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95721">
        <w:tc>
          <w:tcPr>
            <w:tcW w:w="1988" w:type="pct"/>
          </w:tcPr>
          <w:p w:rsidR="00841BD8" w:rsidRPr="009C1EBA" w:rsidRDefault="00841BD8" w:rsidP="00895721">
            <w:pPr>
              <w:jc w:val="center"/>
              <w:rPr>
                <w:rFonts w:ascii="Arial Narrow" w:hAnsi="Arial Narrow" w:cs="Times New Roman"/>
                <w:b/>
                <w:sz w:val="20"/>
                <w:szCs w:val="20"/>
              </w:rPr>
            </w:pPr>
          </w:p>
          <w:p w:rsidR="00841BD8" w:rsidRPr="009C1EBA" w:rsidRDefault="00841BD8" w:rsidP="00895721">
            <w:pPr>
              <w:jc w:val="center"/>
              <w:rPr>
                <w:rFonts w:ascii="Arial Narrow" w:hAnsi="Arial Narrow" w:cs="Times New Roman"/>
                <w:b/>
                <w:sz w:val="20"/>
                <w:szCs w:val="20"/>
              </w:rPr>
            </w:pPr>
            <w:r w:rsidRPr="009C1EBA">
              <w:rPr>
                <w:rFonts w:ascii="Arial Narrow" w:hAnsi="Arial Narrow" w:cs="Times New Roman"/>
                <w:b/>
                <w:sz w:val="20"/>
                <w:szCs w:val="20"/>
              </w:rPr>
              <w:t>ADEMPIMENTO</w:t>
            </w:r>
          </w:p>
          <w:p w:rsidR="00841BD8" w:rsidRPr="009C1EBA" w:rsidRDefault="00841BD8" w:rsidP="00895721">
            <w:pPr>
              <w:jc w:val="center"/>
              <w:rPr>
                <w:rFonts w:ascii="Arial Narrow" w:hAnsi="Arial Narrow" w:cs="Times New Roman"/>
                <w:b/>
                <w:sz w:val="20"/>
                <w:szCs w:val="20"/>
              </w:rPr>
            </w:pPr>
          </w:p>
        </w:tc>
        <w:tc>
          <w:tcPr>
            <w:tcW w:w="662" w:type="pct"/>
          </w:tcPr>
          <w:p w:rsidR="00841BD8" w:rsidRPr="009C1EBA" w:rsidRDefault="00841BD8" w:rsidP="00895721">
            <w:pPr>
              <w:ind w:left="-66"/>
              <w:jc w:val="center"/>
              <w:rPr>
                <w:rFonts w:ascii="Arial Narrow" w:hAnsi="Arial Narrow"/>
                <w:b/>
                <w:sz w:val="20"/>
                <w:szCs w:val="20"/>
              </w:rPr>
            </w:pPr>
          </w:p>
          <w:p w:rsidR="00841BD8" w:rsidRPr="009C1EBA" w:rsidRDefault="00841BD8" w:rsidP="00895721">
            <w:pPr>
              <w:ind w:left="-66"/>
              <w:jc w:val="center"/>
              <w:rPr>
                <w:rFonts w:ascii="Arial Narrow" w:hAnsi="Arial Narrow"/>
                <w:b/>
                <w:sz w:val="20"/>
                <w:szCs w:val="20"/>
              </w:rPr>
            </w:pPr>
            <w:r w:rsidRPr="009C1EBA">
              <w:rPr>
                <w:rFonts w:ascii="Arial Narrow" w:hAnsi="Arial Narrow"/>
                <w:b/>
                <w:sz w:val="20"/>
                <w:szCs w:val="20"/>
              </w:rPr>
              <w:t>STRUTTURA</w:t>
            </w:r>
          </w:p>
        </w:tc>
        <w:tc>
          <w:tcPr>
            <w:tcW w:w="737" w:type="pct"/>
          </w:tcPr>
          <w:p w:rsidR="00841BD8" w:rsidRPr="009C1EBA" w:rsidRDefault="00841BD8" w:rsidP="00895721">
            <w:pPr>
              <w:ind w:left="-99" w:right="-56"/>
              <w:jc w:val="center"/>
              <w:rPr>
                <w:rFonts w:ascii="Arial Narrow" w:hAnsi="Arial Narrow"/>
                <w:b/>
                <w:sz w:val="20"/>
                <w:szCs w:val="20"/>
              </w:rPr>
            </w:pPr>
          </w:p>
          <w:p w:rsidR="00841BD8" w:rsidRPr="009C1EBA" w:rsidRDefault="00841BD8" w:rsidP="00895721">
            <w:pPr>
              <w:ind w:left="-99" w:right="-56"/>
              <w:jc w:val="center"/>
              <w:rPr>
                <w:rFonts w:ascii="Arial Narrow" w:hAnsi="Arial Narrow"/>
                <w:b/>
                <w:sz w:val="20"/>
                <w:szCs w:val="20"/>
              </w:rPr>
            </w:pPr>
            <w:r w:rsidRPr="009C1EBA">
              <w:rPr>
                <w:rFonts w:ascii="Arial Narrow" w:hAnsi="Arial Narrow"/>
                <w:b/>
                <w:sz w:val="20"/>
                <w:szCs w:val="20"/>
              </w:rPr>
              <w:t>RESPONSABILE</w:t>
            </w:r>
          </w:p>
        </w:tc>
        <w:tc>
          <w:tcPr>
            <w:tcW w:w="882" w:type="pct"/>
          </w:tcPr>
          <w:p w:rsidR="00841BD8" w:rsidRPr="009C1EBA" w:rsidRDefault="00841BD8" w:rsidP="00895721">
            <w:pPr>
              <w:jc w:val="center"/>
              <w:rPr>
                <w:rFonts w:ascii="Arial Narrow" w:hAnsi="Arial Narrow"/>
                <w:b/>
                <w:sz w:val="20"/>
                <w:szCs w:val="20"/>
              </w:rPr>
            </w:pPr>
          </w:p>
          <w:p w:rsidR="00841BD8" w:rsidRPr="009C1EBA" w:rsidRDefault="00841BD8" w:rsidP="00895721">
            <w:pPr>
              <w:jc w:val="center"/>
              <w:rPr>
                <w:rFonts w:ascii="Arial Narrow" w:hAnsi="Arial Narrow"/>
                <w:b/>
                <w:sz w:val="20"/>
                <w:szCs w:val="20"/>
              </w:rPr>
            </w:pPr>
            <w:r w:rsidRPr="009C1EBA">
              <w:rPr>
                <w:rFonts w:ascii="Arial Narrow" w:hAnsi="Arial Narrow"/>
                <w:b/>
                <w:sz w:val="20"/>
                <w:szCs w:val="20"/>
              </w:rPr>
              <w:t>CADENZA AGGIORNAMENTI</w:t>
            </w:r>
          </w:p>
          <w:p w:rsidR="00841BD8" w:rsidRPr="009C1EBA" w:rsidRDefault="00841BD8" w:rsidP="00895721">
            <w:pPr>
              <w:jc w:val="center"/>
              <w:rPr>
                <w:rFonts w:ascii="Arial Narrow" w:hAnsi="Arial Narrow"/>
                <w:b/>
                <w:sz w:val="20"/>
                <w:szCs w:val="20"/>
              </w:rPr>
            </w:pPr>
          </w:p>
        </w:tc>
        <w:tc>
          <w:tcPr>
            <w:tcW w:w="731" w:type="pct"/>
          </w:tcPr>
          <w:p w:rsidR="00841BD8" w:rsidRPr="009C1EBA" w:rsidRDefault="00841BD8" w:rsidP="00895721">
            <w:pPr>
              <w:jc w:val="center"/>
              <w:rPr>
                <w:rFonts w:ascii="Arial Narrow" w:hAnsi="Arial Narrow"/>
                <w:b/>
                <w:sz w:val="20"/>
                <w:szCs w:val="20"/>
              </w:rPr>
            </w:pPr>
          </w:p>
          <w:p w:rsidR="00841BD8" w:rsidRPr="009C1EBA" w:rsidRDefault="00841BD8" w:rsidP="00895721">
            <w:pPr>
              <w:jc w:val="center"/>
              <w:rPr>
                <w:rFonts w:ascii="Arial Narrow" w:hAnsi="Arial Narrow"/>
                <w:b/>
                <w:sz w:val="20"/>
                <w:szCs w:val="20"/>
              </w:rPr>
            </w:pPr>
            <w:r w:rsidRPr="009C1EBA">
              <w:rPr>
                <w:rFonts w:ascii="Arial Narrow" w:hAnsi="Arial Narrow"/>
                <w:b/>
                <w:sz w:val="20"/>
                <w:szCs w:val="20"/>
              </w:rPr>
              <w:t>FREQUENZA MONITORAGGI</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lang w:val="en-US"/>
              </w:rPr>
            </w:pPr>
            <w:r w:rsidRPr="009C1EBA">
              <w:rPr>
                <w:rFonts w:ascii="Arial Narrow" w:hAnsi="Arial Narrow" w:cs="Times New Roman"/>
                <w:sz w:val="20"/>
                <w:szCs w:val="20"/>
              </w:rPr>
              <w:t>Bilanci</w:t>
            </w:r>
            <w:r w:rsidRPr="009C1EBA">
              <w:rPr>
                <w:rFonts w:ascii="Arial Narrow" w:hAnsi="Arial Narrow" w:cs="Times New Roman"/>
                <w:sz w:val="20"/>
                <w:szCs w:val="20"/>
                <w:lang w:val="en-US"/>
              </w:rPr>
              <w:t xml:space="preserve"> (art. 29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lang w:val="en-US"/>
                </w:rPr>
                <w:t>1 L</w:t>
              </w:r>
            </w:smartTag>
            <w:r w:rsidRPr="009C1EBA">
              <w:rPr>
                <w:rFonts w:ascii="Arial Narrow" w:hAnsi="Arial Narrow" w:cs="Times New Roman"/>
                <w:sz w:val="20"/>
                <w:szCs w:val="20"/>
                <w:lang w:val="en-US"/>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finanziario</w:t>
            </w:r>
          </w:p>
        </w:tc>
        <w:tc>
          <w:tcPr>
            <w:tcW w:w="737" w:type="pct"/>
            <w:vAlign w:val="center"/>
          </w:tcPr>
          <w:p w:rsidR="00BA2799" w:rsidRPr="009C1EBA" w:rsidRDefault="00BA2799" w:rsidP="00BA2799">
            <w:pPr>
              <w:ind w:left="-99" w:right="-56"/>
              <w:jc w:val="center"/>
              <w:rPr>
                <w:rFonts w:ascii="Arial Narrow" w:hAnsi="Arial Narrow"/>
                <w:sz w:val="20"/>
                <w:szCs w:val="20"/>
              </w:rPr>
            </w:pPr>
            <w:r w:rsidRPr="009C1EBA">
              <w:rPr>
                <w:rFonts w:ascii="Arial Narrow" w:hAnsi="Arial Narrow"/>
                <w:sz w:val="20"/>
                <w:szCs w:val="20"/>
              </w:rPr>
              <w:t>rag. Nadia Cesca</w:t>
            </w:r>
          </w:p>
        </w:tc>
        <w:tc>
          <w:tcPr>
            <w:tcW w:w="882"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annuale</w:t>
            </w:r>
          </w:p>
        </w:tc>
        <w:tc>
          <w:tcPr>
            <w:tcW w:w="731" w:type="pct"/>
            <w:vAlign w:val="center"/>
          </w:tcPr>
          <w:p w:rsidR="00BA2799" w:rsidRPr="009C1EBA" w:rsidRDefault="00BA2799" w:rsidP="00BA2799">
            <w:pPr>
              <w:jc w:val="center"/>
              <w:rPr>
                <w:rFonts w:ascii="Arial Narrow" w:hAnsi="Arial Narrow"/>
                <w:sz w:val="20"/>
                <w:szCs w:val="20"/>
              </w:rPr>
            </w:pPr>
            <w:r w:rsidRPr="009C1EBA">
              <w:rPr>
                <w:rFonts w:ascii="Arial Narrow" w:hAnsi="Arial Narrow"/>
                <w:sz w:val="20"/>
                <w:szCs w:val="20"/>
              </w:rPr>
              <w:t>annuale</w:t>
            </w:r>
          </w:p>
        </w:tc>
      </w:tr>
      <w:tr w:rsidR="009C1EBA" w:rsidRPr="009C1EBA" w:rsidTr="00841BD8">
        <w:tc>
          <w:tcPr>
            <w:tcW w:w="1988" w:type="pct"/>
            <w:vAlign w:val="center"/>
          </w:tcPr>
          <w:p w:rsidR="00841BD8"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Beni immobili </w:t>
            </w:r>
          </w:p>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e gestione del patrimonio</w:t>
            </w:r>
          </w:p>
          <w:p w:rsidR="00BA2799" w:rsidRPr="009C1EBA" w:rsidRDefault="00BA2799" w:rsidP="00841BD8">
            <w:pPr>
              <w:jc w:val="both"/>
              <w:rPr>
                <w:rFonts w:ascii="Arial Narrow" w:hAnsi="Arial Narrow" w:cs="Times New Roman"/>
                <w:sz w:val="20"/>
                <w:szCs w:val="20"/>
                <w:lang w:val="en-US"/>
              </w:rPr>
            </w:pPr>
            <w:r w:rsidRPr="009C1EBA">
              <w:rPr>
                <w:rFonts w:ascii="Arial Narrow" w:hAnsi="Arial Narrow" w:cs="Times New Roman"/>
                <w:sz w:val="20"/>
                <w:szCs w:val="20"/>
              </w:rPr>
              <w:t xml:space="preserve"> </w:t>
            </w:r>
            <w:r w:rsidRPr="009C1EBA">
              <w:rPr>
                <w:rFonts w:ascii="Arial Narrow" w:hAnsi="Arial Narrow" w:cs="Times New Roman"/>
                <w:sz w:val="20"/>
                <w:szCs w:val="20"/>
                <w:lang w:val="en-GB"/>
              </w:rPr>
              <w:t xml:space="preserve">(art. 30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lang w:val="en-GB"/>
                </w:rPr>
                <w:t>1 L</w:t>
              </w:r>
            </w:smartTag>
            <w:r w:rsidRPr="009C1EBA">
              <w:rPr>
                <w:rFonts w:ascii="Arial Narrow" w:hAnsi="Arial Narrow" w:cs="Times New Roman"/>
                <w:sz w:val="20"/>
                <w:szCs w:val="20"/>
                <w:lang w:val="en-GB"/>
              </w:rPr>
              <w:t xml:space="preserve">.R. 29.10.2014 </w:t>
            </w:r>
            <w:r w:rsidR="00841BD8" w:rsidRPr="009C1EBA">
              <w:rPr>
                <w:rFonts w:ascii="Arial Narrow" w:hAnsi="Arial Narrow" w:cs="Times New Roman"/>
                <w:sz w:val="20"/>
                <w:szCs w:val="20"/>
                <w:lang w:val="en-US"/>
              </w:rPr>
              <w:t>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tecnico</w:t>
            </w:r>
          </w:p>
        </w:tc>
        <w:tc>
          <w:tcPr>
            <w:tcW w:w="737" w:type="pct"/>
            <w:vAlign w:val="center"/>
          </w:tcPr>
          <w:p w:rsidR="00BA2799"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g</w:t>
            </w:r>
            <w:r w:rsidR="00BA2799" w:rsidRPr="009C1EBA">
              <w:rPr>
                <w:rFonts w:ascii="Arial Narrow" w:hAnsi="Arial Narrow"/>
                <w:sz w:val="20"/>
                <w:szCs w:val="20"/>
              </w:rPr>
              <w:t xml:space="preserve">eom. </w:t>
            </w:r>
            <w:r w:rsidRPr="009C1EBA">
              <w:rPr>
                <w:rFonts w:ascii="Arial Narrow" w:hAnsi="Arial Narrow"/>
                <w:sz w:val="20"/>
                <w:szCs w:val="20"/>
              </w:rPr>
              <w:t>Giulia Agnolo</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Pagamenti dell’amministrazione</w:t>
            </w:r>
          </w:p>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 (art. 33, art. 36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finanziario</w:t>
            </w:r>
          </w:p>
        </w:tc>
        <w:tc>
          <w:tcPr>
            <w:tcW w:w="737" w:type="pct"/>
            <w:vAlign w:val="center"/>
          </w:tcPr>
          <w:p w:rsidR="00BA2799"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rag. Nadia Cesca</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trimestrale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trimestrale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Corruzione (Piano triennale di prevenzione della corruzione e della trasparenza, relazione annuale del responsabile della prevenzione della corruzione e della trasparenza</w:t>
            </w:r>
            <w:r w:rsidR="00841BD8" w:rsidRPr="009C1EBA">
              <w:rPr>
                <w:rFonts w:ascii="Arial Narrow" w:hAnsi="Arial Narrow" w:cs="Times New Roman"/>
                <w:sz w:val="20"/>
                <w:szCs w:val="20"/>
              </w:rPr>
              <w:t xml:space="preserve"> </w:t>
            </w:r>
            <w:r w:rsidRPr="009C1EBA">
              <w:rPr>
                <w:rFonts w:ascii="Arial Narrow" w:hAnsi="Arial Narrow" w:cs="Times New Roman"/>
                <w:sz w:val="20"/>
                <w:szCs w:val="20"/>
              </w:rPr>
              <w:t xml:space="preserve">(art.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 06.11.2012 n. 190)</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841BD8"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dott. Bruno Zampedri</w:t>
            </w:r>
          </w:p>
          <w:p w:rsidR="00BA2799" w:rsidRPr="009C1EBA" w:rsidRDefault="00BA2799" w:rsidP="00841BD8">
            <w:pPr>
              <w:ind w:left="-99" w:right="-56"/>
              <w:jc w:val="center"/>
              <w:rPr>
                <w:rFonts w:ascii="Arial Narrow" w:hAnsi="Arial Narrow"/>
                <w:sz w:val="20"/>
                <w:szCs w:val="20"/>
              </w:rPr>
            </w:pP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Enti controllati (art. 22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00841BD8"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finanziario</w:t>
            </w:r>
          </w:p>
        </w:tc>
        <w:tc>
          <w:tcPr>
            <w:tcW w:w="737" w:type="pct"/>
            <w:vAlign w:val="center"/>
          </w:tcPr>
          <w:p w:rsidR="00BA2799" w:rsidRPr="009C1EBA" w:rsidRDefault="00841BD8" w:rsidP="00BA2799">
            <w:pPr>
              <w:ind w:left="-99" w:right="-56"/>
              <w:jc w:val="center"/>
              <w:rPr>
                <w:rFonts w:ascii="Arial Narrow" w:hAnsi="Arial Narrow"/>
                <w:sz w:val="20"/>
                <w:szCs w:val="20"/>
              </w:rPr>
            </w:pPr>
            <w:r w:rsidRPr="009C1EBA">
              <w:rPr>
                <w:rFonts w:ascii="Arial Narrow" w:hAnsi="Arial Narrow"/>
                <w:sz w:val="20"/>
                <w:szCs w:val="20"/>
              </w:rPr>
              <w:t>rag. Nadia Cesca</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Provvedimenti (art. 23 D.Lgs. 14.03.2013 n. 33 e ss. mm.,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w:t>
            </w:r>
            <w:r w:rsidR="00841BD8" w:rsidRPr="009C1EBA">
              <w:rPr>
                <w:rFonts w:ascii="Arial Narrow" w:hAnsi="Arial Narrow" w:cs="Times New Roman"/>
                <w:sz w:val="20"/>
                <w:szCs w:val="20"/>
              </w:rPr>
              <w:t>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mensile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mensile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rPr>
            </w:pPr>
            <w:r w:rsidRPr="009C1EBA">
              <w:rPr>
                <w:rFonts w:ascii="Arial Narrow" w:hAnsi="Arial Narrow" w:cs="Times New Roman"/>
                <w:sz w:val="20"/>
                <w:szCs w:val="20"/>
              </w:rPr>
              <w:t xml:space="preserve">Bandi di gara e contratti (art. 1, comma </w:t>
            </w:r>
            <w:smartTag w:uri="urn:schemas-microsoft-com:office:smarttags" w:element="metricconverter">
              <w:smartTagPr>
                <w:attr w:name="ProductID" w:val="32, L"/>
              </w:smartTagPr>
              <w:r w:rsidRPr="009C1EBA">
                <w:rPr>
                  <w:rFonts w:ascii="Arial Narrow" w:hAnsi="Arial Narrow" w:cs="Times New Roman"/>
                  <w:sz w:val="20"/>
                  <w:szCs w:val="20"/>
                </w:rPr>
                <w:t>32, L</w:t>
              </w:r>
            </w:smartTag>
            <w:r w:rsidRPr="009C1EBA">
              <w:rPr>
                <w:rFonts w:ascii="Arial Narrow" w:hAnsi="Arial Narrow" w:cs="Times New Roman"/>
                <w:sz w:val="20"/>
                <w:szCs w:val="20"/>
              </w:rPr>
              <w:t xml:space="preserve">. 06.11.2012 n. 190, art. </w:t>
            </w:r>
            <w:smartTag w:uri="urn:schemas-microsoft-com:office:smarttags" w:element="metricconverter">
              <w:smartTagPr>
                <w:attr w:name="ProductID" w:val="1 L"/>
              </w:smartTagPr>
              <w:r w:rsidRPr="009C1EBA">
                <w:rPr>
                  <w:rFonts w:ascii="Arial Narrow" w:hAnsi="Arial Narrow" w:cs="Times New Roman"/>
                  <w:sz w:val="20"/>
                  <w:szCs w:val="20"/>
                </w:rPr>
                <w:t>1 L</w:t>
              </w:r>
            </w:smartTag>
            <w:r w:rsidRPr="009C1EBA">
              <w:rPr>
                <w:rFonts w:ascii="Arial Narrow" w:hAnsi="Arial Narrow" w:cs="Times New Roman"/>
                <w:sz w:val="20"/>
                <w:szCs w:val="20"/>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841BD8" w:rsidP="00BA2799">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tempestiva</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mensile</w:t>
            </w:r>
          </w:p>
        </w:tc>
      </w:tr>
      <w:tr w:rsidR="009C1EBA" w:rsidRPr="009C1EBA" w:rsidTr="00841BD8">
        <w:tc>
          <w:tcPr>
            <w:tcW w:w="1988" w:type="pct"/>
            <w:vAlign w:val="center"/>
          </w:tcPr>
          <w:p w:rsidR="00BA2799" w:rsidRPr="009C1EBA" w:rsidRDefault="00BA2799" w:rsidP="00841BD8">
            <w:pPr>
              <w:jc w:val="both"/>
              <w:rPr>
                <w:rFonts w:ascii="Arial Narrow" w:hAnsi="Arial Narrow" w:cs="Times New Roman"/>
                <w:sz w:val="20"/>
                <w:szCs w:val="20"/>
                <w:lang w:val="en-US"/>
              </w:rPr>
            </w:pPr>
            <w:r w:rsidRPr="009C1EBA">
              <w:rPr>
                <w:rFonts w:ascii="Arial Narrow" w:hAnsi="Arial Narrow" w:cs="Times New Roman"/>
                <w:sz w:val="20"/>
                <w:szCs w:val="20"/>
              </w:rPr>
              <w:t>Procedimenti</w:t>
            </w:r>
            <w:r w:rsidRPr="009C1EBA">
              <w:rPr>
                <w:rFonts w:ascii="Arial Narrow" w:hAnsi="Arial Narrow" w:cs="Times New Roman"/>
                <w:sz w:val="20"/>
                <w:szCs w:val="20"/>
                <w:lang w:val="en-US"/>
              </w:rPr>
              <w:t xml:space="preserve"> (art. 1, comma </w:t>
            </w:r>
            <w:smartTag w:uri="urn:schemas-microsoft-com:office:smarttags" w:element="metricconverter">
              <w:smartTagPr>
                <w:attr w:name="ProductID" w:val="15, L"/>
              </w:smartTagPr>
              <w:r w:rsidRPr="009C1EBA">
                <w:rPr>
                  <w:rFonts w:ascii="Arial Narrow" w:hAnsi="Arial Narrow" w:cs="Times New Roman"/>
                  <w:sz w:val="20"/>
                  <w:szCs w:val="20"/>
                  <w:lang w:val="en-US"/>
                </w:rPr>
                <w:t>15, L</w:t>
              </w:r>
            </w:smartTag>
            <w:r w:rsidRPr="009C1EBA">
              <w:rPr>
                <w:rFonts w:ascii="Arial Narrow" w:hAnsi="Arial Narrow" w:cs="Times New Roman"/>
                <w:sz w:val="20"/>
                <w:szCs w:val="20"/>
                <w:lang w:val="en-US"/>
              </w:rPr>
              <w:t xml:space="preserve">. 06.11.2012 n. 190, art. </w:t>
            </w:r>
            <w:smartTag w:uri="urn:schemas-microsoft-com:office:smarttags" w:element="metricconverter">
              <w:smartTagPr>
                <w:attr w:name="ProductID" w:val="1 L"/>
              </w:smartTagPr>
              <w:r w:rsidRPr="009C1EBA">
                <w:rPr>
                  <w:rFonts w:ascii="Arial Narrow" w:hAnsi="Arial Narrow" w:cs="Times New Roman"/>
                  <w:sz w:val="20"/>
                  <w:szCs w:val="20"/>
                  <w:lang w:val="en-US"/>
                </w:rPr>
                <w:t>1 L</w:t>
              </w:r>
            </w:smartTag>
            <w:r w:rsidR="00841BD8" w:rsidRPr="009C1EBA">
              <w:rPr>
                <w:rFonts w:ascii="Arial Narrow" w:hAnsi="Arial Narrow" w:cs="Times New Roman"/>
                <w:sz w:val="20"/>
                <w:szCs w:val="20"/>
                <w:lang w:val="en-US"/>
              </w:rPr>
              <w:t>.R. 29.10.2014 n. 10 e ss. mm.)</w:t>
            </w:r>
          </w:p>
        </w:tc>
        <w:tc>
          <w:tcPr>
            <w:tcW w:w="662" w:type="pct"/>
            <w:vAlign w:val="center"/>
          </w:tcPr>
          <w:p w:rsidR="00BA2799" w:rsidRPr="009C1EBA" w:rsidRDefault="00BA2799" w:rsidP="00841BD8">
            <w:pPr>
              <w:ind w:left="-66"/>
              <w:jc w:val="center"/>
              <w:rPr>
                <w:rFonts w:ascii="Arial Narrow" w:hAnsi="Arial Narrow"/>
                <w:sz w:val="20"/>
                <w:szCs w:val="20"/>
              </w:rPr>
            </w:pPr>
            <w:r w:rsidRPr="009C1EBA">
              <w:rPr>
                <w:rFonts w:ascii="Arial Narrow" w:hAnsi="Arial Narrow"/>
                <w:sz w:val="20"/>
                <w:szCs w:val="20"/>
              </w:rPr>
              <w:t>Settore segreteria, personale e contratti</w:t>
            </w:r>
          </w:p>
        </w:tc>
        <w:tc>
          <w:tcPr>
            <w:tcW w:w="737" w:type="pct"/>
            <w:vAlign w:val="center"/>
          </w:tcPr>
          <w:p w:rsidR="00BA2799" w:rsidRPr="009C1EBA" w:rsidRDefault="00841BD8" w:rsidP="00841BD8">
            <w:pPr>
              <w:ind w:left="-99" w:right="-56"/>
              <w:jc w:val="center"/>
              <w:rPr>
                <w:rFonts w:ascii="Arial Narrow" w:hAnsi="Arial Narrow"/>
                <w:sz w:val="20"/>
                <w:szCs w:val="20"/>
              </w:rPr>
            </w:pPr>
            <w:r w:rsidRPr="009C1EBA">
              <w:rPr>
                <w:rFonts w:ascii="Arial Narrow" w:hAnsi="Arial Narrow"/>
                <w:sz w:val="20"/>
                <w:szCs w:val="20"/>
              </w:rPr>
              <w:t>dott. Bruno Zampedri</w:t>
            </w:r>
          </w:p>
        </w:tc>
        <w:tc>
          <w:tcPr>
            <w:tcW w:w="882"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c>
          <w:tcPr>
            <w:tcW w:w="731" w:type="pct"/>
            <w:vAlign w:val="center"/>
          </w:tcPr>
          <w:p w:rsidR="00BA2799" w:rsidRPr="009C1EBA" w:rsidRDefault="00BA2799" w:rsidP="00BA2799">
            <w:pPr>
              <w:jc w:val="center"/>
              <w:rPr>
                <w:rFonts w:ascii="Arial Narrow" w:hAnsi="Arial Narrow"/>
                <w:sz w:val="20"/>
                <w:szCs w:val="20"/>
                <w:lang w:val="en-US"/>
              </w:rPr>
            </w:pPr>
            <w:r w:rsidRPr="009C1EBA">
              <w:rPr>
                <w:rFonts w:ascii="Arial Narrow" w:hAnsi="Arial Narrow"/>
                <w:sz w:val="20"/>
                <w:szCs w:val="20"/>
                <w:lang w:val="en-US"/>
              </w:rPr>
              <w:t>annuale</w:t>
            </w:r>
          </w:p>
        </w:tc>
      </w:tr>
    </w:tbl>
    <w:p w:rsidR="00BA2799" w:rsidRPr="009C1EBA" w:rsidRDefault="00BA2799">
      <w:pPr>
        <w:pStyle w:val="Default"/>
        <w:spacing w:before="100" w:after="0" w:line="240" w:lineRule="auto"/>
        <w:rPr>
          <w:rFonts w:ascii="Arial" w:hAnsi="Arial" w:cs="Arial"/>
          <w:color w:val="auto"/>
          <w:sz w:val="21"/>
          <w:szCs w:val="21"/>
        </w:rPr>
      </w:pPr>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Per garantire la corretta e puntuale attuazione degli obblighi di pubblicazione di cui a</w:t>
      </w:r>
      <w:r w:rsidR="00BA2799" w:rsidRPr="009C1EBA">
        <w:rPr>
          <w:rFonts w:ascii="Arial" w:hAnsi="Arial" w:cs="Arial"/>
          <w:color w:val="auto"/>
          <w:sz w:val="21"/>
          <w:szCs w:val="21"/>
        </w:rPr>
        <w:t>l</w:t>
      </w:r>
      <w:r w:rsidRPr="009C1EBA">
        <w:rPr>
          <w:rFonts w:ascii="Arial" w:hAnsi="Arial" w:cs="Arial"/>
          <w:color w:val="auto"/>
          <w:sz w:val="21"/>
          <w:szCs w:val="21"/>
        </w:rPr>
        <w:t xml:space="preserve"> detto “Elenco obblighi di pubblicazione in Amministrazione Trasparente” il Responsabile della Prevenzione della Corruzione e della Trasparenza, provvederà nel corso del 2018 ad effettuare dei monitoraggi con </w:t>
      </w:r>
      <w:r w:rsidRPr="009C1EBA">
        <w:rPr>
          <w:rFonts w:ascii="Arial" w:hAnsi="Arial" w:cs="Arial"/>
          <w:color w:val="auto"/>
          <w:sz w:val="21"/>
          <w:szCs w:val="21"/>
        </w:rPr>
        <w:lastRenderedPageBreak/>
        <w:t>cadenza almeno trimestrale e vigilerà sull'aggiornamento delle pagine della sezione “Amministrazione Trasparente” nel sito istituzionale da parte degli incaricati.</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Gli stessi uffici sono tenuti altresì a dare corretta e puntuale attuazione, nelle materia di propria competenza, alle istanze di accesso civico generalizzato.</w:t>
      </w:r>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 xml:space="preserve">L’Amministrazione </w:t>
      </w:r>
      <w:r w:rsidR="00BA2799" w:rsidRPr="009C1EBA">
        <w:rPr>
          <w:rFonts w:ascii="Arial" w:hAnsi="Arial" w:cs="Arial"/>
          <w:color w:val="auto"/>
          <w:sz w:val="21"/>
          <w:szCs w:val="21"/>
        </w:rPr>
        <w:t>s</w:t>
      </w:r>
      <w:r w:rsidRPr="009C1EBA">
        <w:rPr>
          <w:rFonts w:ascii="Arial" w:hAnsi="Arial" w:cs="Arial"/>
          <w:color w:val="auto"/>
          <w:sz w:val="21"/>
          <w:szCs w:val="21"/>
        </w:rPr>
        <w:t xml:space="preserve">i impegna altresì, ad istituire il registro degli accessi. Il registro degli accessi dovrà contenere l’elenco delle richieste con l’oggetto, la data di richiesta, il relativo esito e la data della decisione ed è pubblicato, oscurando i dati personali eventualmente presenti, e tenuto aggiornato almeno ogni sei mesi nella sezione Amministrazione trasparente, “altri contenuti – accesso civico” del sito web istituzionale. La pubblicazione del registro degli accessi sarà utile al Comune di </w:t>
      </w:r>
      <w:r w:rsidR="005A29F1" w:rsidRPr="009C1EBA">
        <w:rPr>
          <w:rFonts w:ascii="Arial" w:hAnsi="Arial" w:cs="Arial"/>
          <w:color w:val="auto"/>
          <w:sz w:val="21"/>
          <w:szCs w:val="21"/>
        </w:rPr>
        <w:t>Cinte Tesino</w:t>
      </w:r>
      <w:r w:rsidRPr="009C1EBA">
        <w:rPr>
          <w:rFonts w:ascii="Arial" w:hAnsi="Arial" w:cs="Arial"/>
          <w:color w:val="auto"/>
          <w:sz w:val="21"/>
          <w:szCs w:val="21"/>
        </w:rPr>
        <w:t xml:space="preserve"> in quanto consente di rendere noto su quali documenti, dati o informazioni è stato consentito l’accesso in una logica di semplificazione delle attività.</w:t>
      </w:r>
    </w:p>
    <w:p w:rsidR="00917FEC" w:rsidRPr="009C1EBA" w:rsidRDefault="00917FEC">
      <w:pPr>
        <w:pStyle w:val="Default"/>
        <w:spacing w:before="100" w:after="0" w:line="240" w:lineRule="auto"/>
        <w:rPr>
          <w:rFonts w:ascii="Arial" w:hAnsi="Arial" w:cs="Arial"/>
          <w:color w:val="auto"/>
          <w:sz w:val="21"/>
          <w:szCs w:val="21"/>
        </w:rPr>
      </w:pPr>
    </w:p>
    <w:p w:rsidR="00917FEC" w:rsidRPr="009C1EBA" w:rsidRDefault="00A91522">
      <w:pPr>
        <w:pStyle w:val="Titolo2"/>
        <w:rPr>
          <w:i w:val="0"/>
          <w:sz w:val="21"/>
          <w:szCs w:val="21"/>
        </w:rPr>
      </w:pPr>
      <w:bookmarkStart w:id="18" w:name="__RefHeading___Toc1974_761212699"/>
      <w:r w:rsidRPr="009C1EBA">
        <w:rPr>
          <w:i w:val="0"/>
          <w:sz w:val="21"/>
          <w:szCs w:val="21"/>
        </w:rPr>
        <w:t>8.3. TUTELA DEL DIPENDENTE CHE SEGNALA ILLECITI (WHISTLEBLOWER)</w:t>
      </w:r>
      <w:bookmarkEnd w:id="18"/>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Il RPCT si è impegnato ad applicare effettivamente la normativa sulla segnalazione da parte del dipendente di condotte illecite di cui sia venuto a conoscenza, di cui all’art. 54-bis del D.Lgs. n° 165/2001 e s.m. e della legge n° 197/2017.</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L’Amministrazione di impegna a ricercare soluzioni di gestione delle segnalazioni anche eventuali possibilità di riuso gratuito del software da altre Pubbliche Amministrazioni, ai sensi dell’art. 69 del vigente Codice dell’ Amministrazione Digitale ( C.A.D.).</w:t>
      </w:r>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Verrà creato un indirizzo mail dedicato, da rendere disponibile alla Società civile previo avviso sul sito istituzionale.</w:t>
      </w:r>
    </w:p>
    <w:p w:rsidR="00917FEC" w:rsidRPr="009C1EBA" w:rsidRDefault="00A91522">
      <w:pPr>
        <w:pStyle w:val="Titolo2"/>
        <w:rPr>
          <w:i w:val="0"/>
          <w:sz w:val="21"/>
          <w:szCs w:val="21"/>
        </w:rPr>
      </w:pPr>
      <w:bookmarkStart w:id="19" w:name="__RefHeading___Toc1976_761212699"/>
      <w:r w:rsidRPr="009C1EBA">
        <w:rPr>
          <w:i w:val="0"/>
          <w:sz w:val="21"/>
          <w:szCs w:val="21"/>
        </w:rPr>
        <w:t>8.4 IL CODICE DI COMPORTAMENTO</w:t>
      </w:r>
      <w:bookmarkEnd w:id="19"/>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 xml:space="preserve">L’amministrazione si è impegnata ad adottare le misure che garantiscano il rispetto dei principi dettati dalle norme del Codice di comportamento dei dipendenti delle Pubbliche Amministrazioni di cui al D.P.R. 16 aprile 2013, n° 62, approvate con deliberazione giuntale n° </w:t>
      </w:r>
      <w:r w:rsidR="005A29F1" w:rsidRPr="009C1EBA">
        <w:rPr>
          <w:rFonts w:ascii="Arial" w:hAnsi="Arial" w:cs="Arial"/>
          <w:color w:val="auto"/>
          <w:sz w:val="21"/>
          <w:szCs w:val="21"/>
        </w:rPr>
        <w:t>107 del 14.12.2014</w:t>
      </w:r>
      <w:r w:rsidRPr="009C1EBA">
        <w:rPr>
          <w:rFonts w:ascii="Arial" w:hAnsi="Arial" w:cs="Arial"/>
          <w:color w:val="auto"/>
          <w:sz w:val="21"/>
          <w:szCs w:val="21"/>
        </w:rPr>
        <w:t>, non solo da parte dei propri dipendenti, ma anche, laddove compatibili, da parte di tutti i collaboratori dell’amministrazione, dei titolari di organi e di incarichi negli uffici di diretta collaborazione delle autorità, dei collaboratori a qualsiasi titolo di imprese fornitrici di beni o servizi o che realizzano opere in favore dell’amministrazione così come recepiti in sede di Autonomia provinciale e regionale.</w:t>
      </w:r>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 xml:space="preserve">Nei modelli di lettera di invito e nei capitolati d’appalto si farà sempre riferimento all’obbligo di osservanza del codice di comportamento del Comune di </w:t>
      </w:r>
      <w:r w:rsidR="005A29F1" w:rsidRPr="009C1EBA">
        <w:rPr>
          <w:rFonts w:ascii="Arial" w:hAnsi="Arial" w:cs="Arial"/>
          <w:color w:val="auto"/>
          <w:sz w:val="21"/>
          <w:szCs w:val="21"/>
        </w:rPr>
        <w:t>Cinte Tesino</w:t>
      </w:r>
      <w:r w:rsidRPr="009C1EBA">
        <w:rPr>
          <w:rFonts w:ascii="Arial" w:hAnsi="Arial" w:cs="Arial"/>
          <w:color w:val="auto"/>
          <w:sz w:val="21"/>
          <w:szCs w:val="21"/>
        </w:rPr>
        <w:t>.</w:t>
      </w:r>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 xml:space="preserve">L’Amministrazione si è impegnata ad adottare le misure necessarie all’effettiva attivazione della responsabilità disciplinare dei dipendenti, in caso di violazione dei doveri di comportamento, </w:t>
      </w:r>
      <w:r w:rsidRPr="009C1EBA">
        <w:rPr>
          <w:rFonts w:ascii="Arial" w:hAnsi="Arial" w:cs="Arial"/>
          <w:bCs/>
          <w:color w:val="auto"/>
          <w:sz w:val="21"/>
          <w:szCs w:val="21"/>
        </w:rPr>
        <w:t>ivi incluso il dovere di rispettare le prescrizioni contenute nel piano triennale.</w:t>
      </w:r>
    </w:p>
    <w:p w:rsidR="00917FEC" w:rsidRPr="009C1EBA" w:rsidRDefault="00A91522">
      <w:pPr>
        <w:pStyle w:val="Default"/>
        <w:spacing w:before="100" w:after="0" w:line="240" w:lineRule="auto"/>
        <w:rPr>
          <w:color w:val="auto"/>
        </w:rPr>
      </w:pPr>
      <w:r w:rsidRPr="009C1EBA">
        <w:rPr>
          <w:rFonts w:ascii="Arial" w:hAnsi="Arial" w:cs="Arial"/>
          <w:color w:val="auto"/>
          <w:sz w:val="21"/>
          <w:szCs w:val="21"/>
        </w:rPr>
        <w:t>L’Ente si impegna, nel corso del 2018, a rivisitare il Codice di comportamento, tenendo conto delle risultanze dei monitoraggi effettuati e alla luce delle aree di rischio evidenziate in questo Piano e nei Piani precedentemente adottati.</w:t>
      </w:r>
    </w:p>
    <w:p w:rsidR="00917FEC" w:rsidRPr="009C1EBA" w:rsidRDefault="00917FEC">
      <w:pPr>
        <w:pStyle w:val="Default"/>
        <w:spacing w:before="100" w:after="0" w:line="240" w:lineRule="auto"/>
        <w:rPr>
          <w:rFonts w:ascii="Arial" w:hAnsi="Arial" w:cs="Arial"/>
          <w:bCs/>
          <w:color w:val="auto"/>
          <w:sz w:val="21"/>
          <w:szCs w:val="21"/>
          <w:shd w:val="clear" w:color="auto" w:fill="FFFF00"/>
        </w:rPr>
      </w:pPr>
    </w:p>
    <w:p w:rsidR="00917FEC" w:rsidRPr="009C1EBA" w:rsidRDefault="00A91522">
      <w:pPr>
        <w:pStyle w:val="Titolo2"/>
        <w:rPr>
          <w:i w:val="0"/>
          <w:sz w:val="21"/>
          <w:szCs w:val="21"/>
        </w:rPr>
      </w:pPr>
      <w:bookmarkStart w:id="20" w:name="__RefHeading___Toc1978_761212699"/>
      <w:r w:rsidRPr="009C1EBA">
        <w:rPr>
          <w:i w:val="0"/>
          <w:sz w:val="21"/>
          <w:szCs w:val="21"/>
        </w:rPr>
        <w:t>8.5. INCARICHI EXTRAISTITUZIONALI</w:t>
      </w:r>
      <w:bookmarkEnd w:id="20"/>
    </w:p>
    <w:p w:rsidR="00917FEC" w:rsidRPr="009C1EBA" w:rsidRDefault="00A91522">
      <w:pPr>
        <w:pStyle w:val="NormaleWebArial"/>
        <w:spacing w:before="100" w:line="240" w:lineRule="auto"/>
      </w:pPr>
      <w:r w:rsidRPr="009C1EBA">
        <w:rPr>
          <w:rFonts w:ascii="Arial" w:hAnsi="Arial" w:cs="Arial"/>
          <w:b w:val="0"/>
          <w:sz w:val="21"/>
          <w:szCs w:val="21"/>
          <w:shd w:val="clear" w:color="auto" w:fill="FFFFFF"/>
        </w:rPr>
        <w:t xml:space="preserve">Il cumulo in capo ad un medesimo dipendente di incarichi conferiti dall’Amministrazione può comportare un’eccessiva concentrazione di potere su un unico centro decisionale, con il rischio che l’attività possa essere indirizzata verso fini privati o impropri. Infatti, lo svolgimento di incarichi, soprattutto se extraistituzionali, da parte del dipendente può realizzare situazioni di conflitto di interesse che possono compromettere il buon andamento dell’azione amministrativa, ponendosi come sintomo dell’evenienza di fatti corruttivi. Per tale ragione, il conferimento operato direttamente dall'Amministrazione, nonché l'autorizzazione all'esercizio di incarichi che provengano da amministrazione pubblica diversa da quella di appartenenza, ovvero da società o persone fisiche, che svolgano attività d'impresa o commerciale, </w:t>
      </w:r>
      <w:r w:rsidRPr="009C1EBA">
        <w:rPr>
          <w:rFonts w:ascii="Arial" w:hAnsi="Arial" w:cs="Arial"/>
          <w:b w:val="0"/>
          <w:sz w:val="21"/>
          <w:szCs w:val="21"/>
          <w:shd w:val="clear" w:color="auto" w:fill="FFFFFF"/>
        </w:rPr>
        <w:lastRenderedPageBreak/>
        <w:t xml:space="preserve">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 Il Comune di </w:t>
      </w:r>
      <w:r w:rsidR="005A29F1" w:rsidRPr="009C1EBA">
        <w:rPr>
          <w:rFonts w:ascii="Arial" w:hAnsi="Arial" w:cs="Arial"/>
          <w:b w:val="0"/>
          <w:sz w:val="21"/>
          <w:szCs w:val="21"/>
          <w:shd w:val="clear" w:color="auto" w:fill="FFFFFF"/>
        </w:rPr>
        <w:t>Cinte Tesino</w:t>
      </w:r>
      <w:r w:rsidRPr="009C1EBA">
        <w:rPr>
          <w:rFonts w:ascii="Arial" w:hAnsi="Arial" w:cs="Arial"/>
          <w:b w:val="0"/>
          <w:sz w:val="21"/>
          <w:szCs w:val="21"/>
          <w:shd w:val="clear" w:color="auto" w:fill="FFFFFF"/>
        </w:rPr>
        <w:t xml:space="preserve"> per prevenire situazioni di conflitto di interessi che ledono l'imparzialità ed il buon andamento dell'azione amministrativa, prevede di verificare le richieste di autorizzazione/svolgimento di incarichi ed attività, anche alla luce delle conclusioni del tavolo tecnico esplicitate nel documento contenente </w:t>
      </w:r>
      <w:r w:rsidRPr="009C1EBA">
        <w:rPr>
          <w:rFonts w:ascii="Arial" w:hAnsi="Arial" w:cs="Arial"/>
          <w:b w:val="0"/>
          <w:i/>
          <w:sz w:val="21"/>
          <w:szCs w:val="21"/>
          <w:shd w:val="clear" w:color="auto" w:fill="FFFFFF"/>
        </w:rPr>
        <w:t>"Criteri generali in materia di incarichi vietati ai pubblici dipendenti"</w:t>
      </w:r>
      <w:r w:rsidRPr="009C1EBA">
        <w:rPr>
          <w:rFonts w:ascii="Arial" w:hAnsi="Arial" w:cs="Arial"/>
          <w:b w:val="0"/>
          <w:sz w:val="21"/>
          <w:szCs w:val="21"/>
          <w:shd w:val="clear" w:color="auto" w:fill="FFFFFF"/>
        </w:rPr>
        <w:t xml:space="preserve"> e delle conseguenti indicazioni della Regione T.A.A. esplicitate con circolare n. 3/EL del 14 agosto 2014.</w:t>
      </w:r>
    </w:p>
    <w:p w:rsidR="00917FEC" w:rsidRPr="009C1EBA" w:rsidRDefault="00A91522">
      <w:pPr>
        <w:pStyle w:val="Titolo2"/>
      </w:pPr>
      <w:bookmarkStart w:id="21" w:name="__RefHeading___Toc1980_761212699"/>
      <w:r w:rsidRPr="009C1EBA">
        <w:rPr>
          <w:i w:val="0"/>
          <w:sz w:val="21"/>
          <w:szCs w:val="21"/>
        </w:rPr>
        <w:t>8.6 COINVOLGIMENTO DEGLI STAKEHOLDER: ASCOLTO E DIALOGO CON IL TERRITORIO</w:t>
      </w:r>
      <w:bookmarkEnd w:id="21"/>
    </w:p>
    <w:p w:rsidR="00917FEC" w:rsidRPr="009C1EBA" w:rsidRDefault="00A91522">
      <w:pPr>
        <w:pStyle w:val="Default"/>
        <w:spacing w:before="100" w:after="0" w:line="240" w:lineRule="auto"/>
        <w:rPr>
          <w:rFonts w:ascii="Arial" w:hAnsi="Arial" w:cs="Arial"/>
          <w:color w:val="auto"/>
          <w:sz w:val="21"/>
          <w:szCs w:val="21"/>
        </w:rPr>
      </w:pPr>
      <w:r w:rsidRPr="009C1EBA">
        <w:rPr>
          <w:rFonts w:ascii="Arial" w:hAnsi="Arial" w:cs="Arial"/>
          <w:color w:val="auto"/>
          <w:sz w:val="21"/>
          <w:szCs w:val="21"/>
        </w:rPr>
        <w:t>Si intende coinvolgere gli stakeholder attraverso la pubblicazione sul sito web istituzionale di apposito avviso per le eventuali osservazioni/opposizioni al piano approvato dalla Giunta comunale.</w:t>
      </w:r>
    </w:p>
    <w:p w:rsidR="00917FEC" w:rsidRPr="009C1EBA" w:rsidRDefault="00A91522">
      <w:pPr>
        <w:pStyle w:val="Standard"/>
        <w:spacing w:before="100" w:after="0" w:line="240" w:lineRule="auto"/>
        <w:jc w:val="both"/>
      </w:pPr>
      <w:r w:rsidRPr="009C1EBA">
        <w:rPr>
          <w:rFonts w:ascii="Arial" w:hAnsi="Arial" w:cs="Arial"/>
          <w:sz w:val="21"/>
          <w:szCs w:val="21"/>
        </w:rPr>
        <w:t xml:space="preserve">Infine, per quanto concerne </w:t>
      </w:r>
      <w:r w:rsidRPr="009C1EBA">
        <w:rPr>
          <w:rFonts w:ascii="Arial" w:hAnsi="Arial" w:cs="Arial"/>
          <w:b/>
          <w:sz w:val="21"/>
          <w:szCs w:val="21"/>
        </w:rPr>
        <w:t>l’aspetto formativo</w:t>
      </w:r>
      <w:r w:rsidRPr="009C1EBA">
        <w:rPr>
          <w:rFonts w:ascii="Arial" w:hAnsi="Arial" w:cs="Arial"/>
          <w:sz w:val="21"/>
          <w:szCs w:val="21"/>
        </w:rPr>
        <w:t xml:space="preserve"> – essenziale per il mantenimento e lo sviluppo del Piano nel tempo, si ribadisce come - in linea con la Convenzione delle Nazioni unite contro la corruzione, adottata dall’Assemblea generale dell’O.N.U. il 31 ottobre 2003, la L. 190/2012 attribuisce particolare importanza alla formazione del personale addetto alle aree a più elevato rischio, per cui è prevista, in occasione della predisposizione del Piano della formazione,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22" w:name="__RefHeading___Toc1982_761212699"/>
      <w:r w:rsidRPr="009C1EBA">
        <w:rPr>
          <w:i w:val="0"/>
          <w:sz w:val="21"/>
          <w:szCs w:val="21"/>
        </w:rPr>
        <w:t>8.7 RISPETTO DELLA NORMATIVA SULLA SCELTA DEL CONTRAENTE</w:t>
      </w:r>
      <w:bookmarkEnd w:id="22"/>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In assenza di precedenti critici, l’impegno dell’Amministrazione è concentrato sul rispetto puntuale della normativa di dettaglio e delle Linee guida espresse da ANAC, anche attraverso l’utilizzo della Centrale di committenza Provinciale e degli strumenti del mercato elettronico provinciale (MERCURIO – MEPAT) e nazionale (CONSIP – MEPA).</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23" w:name="__RefHeading___Toc1984_761212699"/>
      <w:r w:rsidRPr="009C1EBA">
        <w:rPr>
          <w:i w:val="0"/>
          <w:sz w:val="21"/>
          <w:szCs w:val="21"/>
        </w:rPr>
        <w:t>8.8 RISPETTO DELLA NORMATIVA SULLA PIANIFICAZIONE TERRITORIALE</w:t>
      </w:r>
      <w:bookmarkEnd w:id="23"/>
    </w:p>
    <w:p w:rsidR="00917FEC" w:rsidRPr="009C1EBA" w:rsidRDefault="00A91522">
      <w:pPr>
        <w:pStyle w:val="Standard"/>
        <w:spacing w:before="100" w:after="0" w:line="240" w:lineRule="auto"/>
        <w:jc w:val="both"/>
        <w:rPr>
          <w:rFonts w:ascii="Arial" w:hAnsi="Arial" w:cs="Arial"/>
          <w:sz w:val="21"/>
          <w:szCs w:val="21"/>
        </w:rPr>
      </w:pPr>
      <w:r w:rsidRPr="009C1EBA">
        <w:rPr>
          <w:rFonts w:ascii="Arial" w:hAnsi="Arial" w:cs="Arial"/>
          <w:sz w:val="21"/>
          <w:szCs w:val="21"/>
        </w:rPr>
        <w:t>In assenza di precedenti critici, l’impegno dell’amministrazione è concentrato sul rispetto puntuale della normativa di dettaglio, prevedendo apposite misure.</w:t>
      </w:r>
    </w:p>
    <w:p w:rsidR="00917FEC" w:rsidRPr="009C1EBA" w:rsidRDefault="00917FEC">
      <w:pPr>
        <w:pStyle w:val="Standard"/>
        <w:spacing w:before="100" w:after="0" w:line="240" w:lineRule="auto"/>
        <w:jc w:val="both"/>
        <w:rPr>
          <w:rFonts w:ascii="Arial" w:hAnsi="Arial" w:cs="Arial"/>
          <w:sz w:val="21"/>
          <w:szCs w:val="21"/>
        </w:rPr>
      </w:pPr>
    </w:p>
    <w:p w:rsidR="00917FEC" w:rsidRPr="009C1EBA" w:rsidRDefault="00A91522">
      <w:pPr>
        <w:pStyle w:val="Titolo2"/>
        <w:rPr>
          <w:i w:val="0"/>
          <w:sz w:val="21"/>
          <w:szCs w:val="21"/>
        </w:rPr>
      </w:pPr>
      <w:bookmarkStart w:id="24" w:name="__RefHeading___Toc9049_3259834511"/>
      <w:r w:rsidRPr="009C1EBA">
        <w:rPr>
          <w:i w:val="0"/>
          <w:sz w:val="21"/>
          <w:szCs w:val="21"/>
        </w:rPr>
        <w:t>8.</w:t>
      </w:r>
      <w:r w:rsidR="009C1EBA" w:rsidRPr="009C1EBA">
        <w:rPr>
          <w:i w:val="0"/>
          <w:sz w:val="21"/>
          <w:szCs w:val="21"/>
        </w:rPr>
        <w:t>9</w:t>
      </w:r>
      <w:r w:rsidRPr="009C1EBA">
        <w:rPr>
          <w:i w:val="0"/>
          <w:sz w:val="21"/>
          <w:szCs w:val="21"/>
        </w:rPr>
        <w:t xml:space="preserve"> OBBLIGO DI ASTENSIONE IN CASO DI CONFLITTI DI INTERESSI</w:t>
      </w:r>
      <w:bookmarkEnd w:id="24"/>
    </w:p>
    <w:p w:rsidR="00917FEC" w:rsidRPr="009C1EBA" w:rsidRDefault="00A91522">
      <w:pPr>
        <w:pStyle w:val="NormaleWeb"/>
        <w:numPr>
          <w:ilvl w:val="0"/>
          <w:numId w:val="26"/>
        </w:numPr>
        <w:spacing w:before="102" w:after="0" w:line="240" w:lineRule="auto"/>
        <w:ind w:left="0" w:firstLine="0"/>
        <w:jc w:val="both"/>
        <w:rPr>
          <w:rFonts w:ascii="Arial" w:hAnsi="Arial" w:cs="Arial"/>
          <w:sz w:val="21"/>
          <w:szCs w:val="21"/>
          <w:shd w:val="clear" w:color="auto" w:fill="FFFFFF"/>
        </w:rPr>
      </w:pPr>
      <w:r w:rsidRPr="009C1EBA">
        <w:rPr>
          <w:rFonts w:ascii="Arial" w:hAnsi="Arial" w:cs="Arial"/>
          <w:sz w:val="21"/>
          <w:szCs w:val="21"/>
          <w:shd w:val="clear" w:color="auto" w:fill="FFFFFF"/>
        </w:rPr>
        <w:t>Il responsabile del procedimento, il titolare dell’ufficio competente ad adottare un provvedimento finale ed i titolari degli uffici competenti ad adottare atti endoprocedimentali hanno l'obbligo di astensione nel caso di conflitto di interesse, anche potenziale e  in riferimento a tutte le ipotesi in cui si manifestino “gravi ragioni di convenienza”; inoltre per i medesimi soggetti è previsto un dovere di segnalazione della situazione di conflitto di interesse. Si tratta di una misura di prevenzione che si realizza mediante l’astensione dalla partecipazione alla decisione del titolare dell’interesse, che potrebbe porsi in conflitto con l’interesse perseguito mediante l’esercizio della funzione e/o con l’interesse di cui sono portatori il destinatario del provvedimento, gli altri interessati e controinteressati. I dipendenti del Comune dovranno segnalare per iscritto l'eventuale potenziale conflitto d'interesse al dirigente competente, il quale valuterà se la situazione realizza un conflitto idoneo a ledere l’imparzialità dell’agire amministrativo. Il dirigente valuterà la situazione e risponderà per iscritto al dipendente, sollevandolo dall’incarico oppure motivando espressamente le ragioni che consentano comunque l’espletamento dell’attività da parte di quel dipendente.</w:t>
      </w:r>
    </w:p>
    <w:p w:rsidR="00917FEC" w:rsidRPr="009C1EBA" w:rsidRDefault="00A91522">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sidRPr="009C1EBA">
        <w:rPr>
          <w:rFonts w:ascii="Arial" w:hAnsi="Arial" w:cs="Arial"/>
          <w:sz w:val="21"/>
          <w:szCs w:val="21"/>
          <w:shd w:val="clear" w:color="auto" w:fill="FFFFFF"/>
        </w:rPr>
        <w:lastRenderedPageBreak/>
        <w:t>Nel caso in cui sia necessario sollevare il dipendente dall’incarico esso dovrà essere affidato dal dirigente ad altro dipendente ovvero, in carenza di dipendenti/dirigenti professionalmente idonei, il dirigente dovrà avocare a sé ogni compito relativo al procedimento.</w:t>
      </w:r>
    </w:p>
    <w:p w:rsidR="00917FEC" w:rsidRPr="009C1EBA" w:rsidRDefault="00917FEC">
      <w:pPr>
        <w:pStyle w:val="NormaleWeb"/>
        <w:spacing w:before="102" w:after="0" w:line="240" w:lineRule="auto"/>
        <w:jc w:val="both"/>
        <w:rPr>
          <w:rFonts w:ascii="Arial" w:hAnsi="Arial" w:cs="Arial"/>
          <w:sz w:val="21"/>
          <w:szCs w:val="21"/>
          <w:shd w:val="clear" w:color="auto" w:fill="FFFFFF"/>
        </w:rPr>
      </w:pPr>
    </w:p>
    <w:p w:rsidR="00917FEC" w:rsidRPr="009C1EBA" w:rsidRDefault="00A91522">
      <w:pPr>
        <w:pStyle w:val="Titolo2"/>
        <w:numPr>
          <w:ilvl w:val="1"/>
          <w:numId w:val="17"/>
        </w:numPr>
        <w:rPr>
          <w:i w:val="0"/>
          <w:sz w:val="21"/>
          <w:szCs w:val="21"/>
        </w:rPr>
      </w:pPr>
      <w:bookmarkStart w:id="25" w:name="__RefHeading___Toc9051_3259834511"/>
      <w:r w:rsidRPr="009C1EBA">
        <w:rPr>
          <w:i w:val="0"/>
          <w:sz w:val="21"/>
          <w:szCs w:val="21"/>
        </w:rPr>
        <w:t>8.1</w:t>
      </w:r>
      <w:r w:rsidR="009C1EBA" w:rsidRPr="009C1EBA">
        <w:rPr>
          <w:i w:val="0"/>
          <w:sz w:val="21"/>
          <w:szCs w:val="21"/>
        </w:rPr>
        <w:t>0</w:t>
      </w:r>
      <w:r w:rsidRPr="009C1EBA">
        <w:rPr>
          <w:i w:val="0"/>
          <w:sz w:val="21"/>
          <w:szCs w:val="21"/>
        </w:rPr>
        <w:t xml:space="preserve"> INCONFERIBILITA’ ED INCOMPATIBILITA’</w:t>
      </w:r>
      <w:bookmarkEnd w:id="25"/>
    </w:p>
    <w:p w:rsidR="00917FEC" w:rsidRPr="009C1EBA" w:rsidRDefault="00A91522">
      <w:pPr>
        <w:pStyle w:val="NormaleWeb"/>
        <w:numPr>
          <w:ilvl w:val="0"/>
          <w:numId w:val="17"/>
        </w:numPr>
        <w:spacing w:before="102" w:after="0" w:line="240" w:lineRule="auto"/>
        <w:ind w:left="0" w:firstLine="0"/>
        <w:jc w:val="both"/>
      </w:pPr>
      <w:r w:rsidRPr="009C1EBA">
        <w:rPr>
          <w:rFonts w:ascii="Arial" w:hAnsi="Arial" w:cs="Arial"/>
          <w:sz w:val="21"/>
          <w:szCs w:val="21"/>
          <w:shd w:val="clear" w:color="auto" w:fill="FFFFFF"/>
        </w:rPr>
        <w:t xml:space="preserve">La disciplina delle ipotesi di inconferibilità ed incompatibilità degli incarichi nelle Pubbliche Amministrazioni di cui al d.lgs. n. 39/2013 è volta a garantire l'esercizio imparziale degli incarichi amministrativi mediante la sottrazione del titolare dell'incarico ai comportamenti che possono provenire da interessi privati o da interessi pubblici; in particolare, il Comune di </w:t>
      </w:r>
      <w:r w:rsidR="007A5A9B" w:rsidRPr="009C1EBA">
        <w:rPr>
          <w:rFonts w:ascii="Arial" w:hAnsi="Arial" w:cs="Arial"/>
          <w:sz w:val="21"/>
          <w:szCs w:val="21"/>
          <w:shd w:val="clear" w:color="auto" w:fill="FFFFFF"/>
        </w:rPr>
        <w:t>Cinte Tesino</w:t>
      </w:r>
      <w:r w:rsidRPr="009C1EBA">
        <w:rPr>
          <w:rFonts w:ascii="Arial" w:hAnsi="Arial" w:cs="Arial"/>
          <w:sz w:val="21"/>
          <w:szCs w:val="21"/>
          <w:shd w:val="clear" w:color="auto" w:fill="FFFFFF"/>
        </w:rPr>
        <w:t xml:space="preserve"> attraverso la disciplina di inconferibilità, vuole evitare che alcuni incarichi, di cura di interessi pubblici, non possano essere attribuiti a coloro che provengano da situazioni che la legge considera come in grado di comportare delle indebite pressioni sull’esercizio imparziale delle funzioni; mentre, attraverso la disciplina dell’incompatibilità vuole impedire la cura contestuale di interessi pubblici e di interessi privati con essi in conflitto.</w:t>
      </w:r>
    </w:p>
    <w:p w:rsidR="00917FEC" w:rsidRPr="009C1EBA" w:rsidRDefault="00A91522">
      <w:pPr>
        <w:pStyle w:val="NormaleWeb"/>
        <w:numPr>
          <w:ilvl w:val="0"/>
          <w:numId w:val="17"/>
        </w:numPr>
        <w:spacing w:before="102" w:after="0" w:line="240" w:lineRule="auto"/>
        <w:ind w:left="0" w:firstLine="0"/>
        <w:jc w:val="both"/>
      </w:pPr>
      <w:r w:rsidRPr="009C1EBA">
        <w:rPr>
          <w:rFonts w:ascii="Arial" w:hAnsi="Arial" w:cs="Arial"/>
          <w:sz w:val="21"/>
          <w:szCs w:val="21"/>
          <w:shd w:val="clear" w:color="auto" w:fill="FFFFFF"/>
        </w:rPr>
        <w:t xml:space="preserve">Il Responsabile di Prevenzione della Corruzione e della Trasparenza (RPCT) cura che nel Comune di </w:t>
      </w:r>
      <w:r w:rsidR="007A5A9B" w:rsidRPr="009C1EBA">
        <w:rPr>
          <w:rFonts w:ascii="Arial" w:hAnsi="Arial" w:cs="Arial"/>
          <w:sz w:val="21"/>
          <w:szCs w:val="21"/>
          <w:shd w:val="clear" w:color="auto" w:fill="FFFFFF"/>
        </w:rPr>
        <w:t>Cinte Tesino</w:t>
      </w:r>
      <w:r w:rsidRPr="009C1EBA">
        <w:rPr>
          <w:rFonts w:ascii="Arial" w:hAnsi="Arial" w:cs="Arial"/>
          <w:sz w:val="21"/>
          <w:szCs w:val="21"/>
          <w:shd w:val="clear" w:color="auto" w:fill="FFFFFF"/>
        </w:rPr>
        <w:t xml:space="preserve"> siano rispettate le disposizioni del d.lgs. n. 39/2013 in materia di inconferibilità e incompatibilità degli incarichi. A tale fine il RPCT contesta all’interessato l’esistenza o l’insorgere delle situazioni di inconferibilità o incompatibilità di cui al citato decreto.</w:t>
      </w:r>
    </w:p>
    <w:p w:rsidR="00917FEC" w:rsidRPr="009C1EBA" w:rsidRDefault="00A91522">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sidRPr="009C1EBA">
        <w:rPr>
          <w:rFonts w:ascii="Arial" w:hAnsi="Arial" w:cs="Arial"/>
          <w:sz w:val="21"/>
          <w:szCs w:val="21"/>
          <w:shd w:val="clear" w:color="auto" w:fill="FFFFFF"/>
        </w:rPr>
        <w:t>I soggetti cui devono essere conferiti gli incarichi, contestualmente all'atto di nomina, devono presentare una dichiarazione sulla insussistenza di una delle cause di inconferibilità o incompatibilità individuate nel d.gls. n. 39/2013.</w:t>
      </w:r>
    </w:p>
    <w:p w:rsidR="00917FEC" w:rsidRPr="009C1EBA" w:rsidRDefault="00A91522">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sidRPr="009C1EBA">
        <w:rPr>
          <w:rFonts w:ascii="Arial" w:hAnsi="Arial" w:cs="Arial"/>
          <w:sz w:val="21"/>
          <w:szCs w:val="21"/>
          <w:shd w:val="clear" w:color="auto" w:fill="FFFFFF"/>
        </w:rPr>
        <w:t>Il RPCT deve accertare l'ipotesi di insussistenza delle cause di inconferibilità o incompatibilità che precludono il conferimento dell'incarico, previa attività di verifica sulla completezza e veridicità della dichiarazione in ordine al contenuto e alla sottoscrizione della stessa nei modi previsti dalla legge.</w:t>
      </w:r>
    </w:p>
    <w:p w:rsidR="00917FEC" w:rsidRPr="009C1EBA" w:rsidRDefault="00917FEC">
      <w:pPr>
        <w:pStyle w:val="NormaleWeb"/>
        <w:spacing w:before="102" w:after="0" w:line="240" w:lineRule="auto"/>
        <w:jc w:val="both"/>
        <w:rPr>
          <w:rFonts w:ascii="Arial" w:hAnsi="Arial" w:cs="Arial"/>
          <w:sz w:val="21"/>
          <w:szCs w:val="21"/>
          <w:shd w:val="clear" w:color="auto" w:fill="FFFFFF"/>
        </w:rPr>
      </w:pPr>
    </w:p>
    <w:p w:rsidR="00917FEC" w:rsidRPr="009C1EBA" w:rsidRDefault="00A91522">
      <w:pPr>
        <w:pStyle w:val="Titolo1"/>
      </w:pPr>
      <w:bookmarkStart w:id="26" w:name="__RefHeading___Toc1986_761212699"/>
      <w:r w:rsidRPr="009C1EBA">
        <w:rPr>
          <w:rFonts w:ascii="Arial" w:hAnsi="Arial" w:cs="Arial"/>
          <w:sz w:val="24"/>
          <w:szCs w:val="24"/>
        </w:rPr>
        <w:t>9. IL SISTEMA DEI CONTROLLI E DELLE AZIONI PREVENTIVE PREVISTE</w:t>
      </w:r>
      <w:bookmarkEnd w:id="26"/>
    </w:p>
    <w:p w:rsidR="00917FEC" w:rsidRPr="009C1EBA" w:rsidRDefault="00A91522">
      <w:pPr>
        <w:pStyle w:val="P"/>
        <w:spacing w:before="100" w:after="0" w:line="240" w:lineRule="auto"/>
        <w:rPr>
          <w:rFonts w:ascii="Arial" w:hAnsi="Arial" w:cs="Arial"/>
          <w:sz w:val="21"/>
          <w:szCs w:val="21"/>
        </w:rPr>
      </w:pPr>
      <w:r w:rsidRPr="009C1EBA">
        <w:rPr>
          <w:rFonts w:ascii="Arial" w:hAnsi="Arial" w:cs="Arial"/>
          <w:sz w:val="21"/>
          <w:szCs w:val="21"/>
        </w:rPr>
        <w:t>Si riportano di seguito, organizzate a livello di Servizio, le schede contenenti le azioni preventive e i controlli attivati per ognuno dei processi per i quali si è stimato “medio” o “alto” l’indice di rischio o per i quali, sebbene l’indice di rischio sia stato stimato come “basso”, si è comunque ritenuto opportuno e utile predisporre e inserire nel Piano azioni di controllo preventivo.</w:t>
      </w:r>
    </w:p>
    <w:p w:rsidR="00917FEC" w:rsidRPr="009C1EBA" w:rsidRDefault="00A91522">
      <w:pPr>
        <w:pStyle w:val="P"/>
        <w:spacing w:before="100" w:after="0" w:line="240" w:lineRule="auto"/>
        <w:rPr>
          <w:rFonts w:ascii="Arial" w:hAnsi="Arial" w:cs="Arial"/>
          <w:sz w:val="21"/>
          <w:szCs w:val="21"/>
        </w:rPr>
      </w:pPr>
      <w:r w:rsidRPr="009C1EBA">
        <w:rPr>
          <w:rFonts w:ascii="Arial" w:hAnsi="Arial" w:cs="Arial"/>
          <w:sz w:val="21"/>
          <w:szCs w:val="21"/>
        </w:rPr>
        <w:t>Per ogni azione – anche se già in atto - è stato inserito il soggetto responsabile della sua attuazione, e laddove l’azione sia pianificata nella sua realizzazione, sono indicati i tempi stimati per il suo completamento, eventualmente affiancati da note esplicative.</w:t>
      </w:r>
    </w:p>
    <w:p w:rsidR="00917FEC" w:rsidRPr="009C1EBA" w:rsidRDefault="00A91522">
      <w:pPr>
        <w:pStyle w:val="P"/>
        <w:spacing w:before="100" w:after="0" w:line="240" w:lineRule="auto"/>
        <w:rPr>
          <w:rFonts w:ascii="Arial" w:hAnsi="Arial" w:cs="Arial"/>
          <w:sz w:val="21"/>
          <w:szCs w:val="21"/>
        </w:rPr>
      </w:pPr>
      <w:r w:rsidRPr="009C1EBA">
        <w:rPr>
          <w:rFonts w:ascii="Arial" w:hAnsi="Arial" w:cs="Arial"/>
          <w:sz w:val="21"/>
          <w:szCs w:val="21"/>
        </w:rPr>
        <w:t>L’utilizzo di un unico format è finalizzato a garantire l’uniformità e a facilitare la lettura del documento.</w:t>
      </w:r>
    </w:p>
    <w:p w:rsidR="00917FEC" w:rsidRPr="009C1EBA" w:rsidRDefault="00917FEC">
      <w:pPr>
        <w:pStyle w:val="P"/>
        <w:spacing w:before="100" w:after="0" w:line="240" w:lineRule="auto"/>
        <w:rPr>
          <w:rFonts w:ascii="Arial" w:hAnsi="Arial" w:cs="Arial"/>
          <w:sz w:val="21"/>
          <w:szCs w:val="21"/>
        </w:rPr>
      </w:pPr>
    </w:p>
    <w:p w:rsidR="00917FEC" w:rsidRPr="009C1EBA" w:rsidRDefault="00A91522">
      <w:pPr>
        <w:pStyle w:val="Titolo1"/>
      </w:pPr>
      <w:bookmarkStart w:id="27" w:name="__RefHeading___Toc1988_761212699"/>
      <w:r w:rsidRPr="009C1EBA">
        <w:rPr>
          <w:rFonts w:ascii="Arial" w:hAnsi="Arial" w:cs="Arial"/>
          <w:sz w:val="24"/>
          <w:szCs w:val="24"/>
        </w:rPr>
        <w:t>10. AGGIORNAMENTO DEL PIANO DI PREVENZIONE DELLA CORRUZIONE E DELLA TRASPARENZA</w:t>
      </w:r>
      <w:bookmarkEnd w:id="27"/>
    </w:p>
    <w:p w:rsidR="00917FEC" w:rsidRPr="009C1EBA" w:rsidRDefault="00A91522">
      <w:pPr>
        <w:pStyle w:val="Titolo2"/>
        <w:rPr>
          <w:i w:val="0"/>
          <w:sz w:val="21"/>
          <w:szCs w:val="21"/>
        </w:rPr>
      </w:pPr>
      <w:bookmarkStart w:id="28" w:name="__RefHeading___Toc1990_761212699"/>
      <w:r w:rsidRPr="009C1EBA">
        <w:rPr>
          <w:i w:val="0"/>
          <w:sz w:val="21"/>
          <w:szCs w:val="21"/>
        </w:rPr>
        <w:t>10.1 MODALITA’ DI AGGIORNAMENTO</w:t>
      </w:r>
      <w:bookmarkEnd w:id="28"/>
    </w:p>
    <w:p w:rsidR="00917FEC" w:rsidRPr="009C1EBA" w:rsidRDefault="00A91522">
      <w:pPr>
        <w:pStyle w:val="P"/>
        <w:spacing w:before="100" w:after="0" w:line="240" w:lineRule="auto"/>
        <w:rPr>
          <w:rFonts w:ascii="Arial" w:hAnsi="Arial" w:cs="Arial"/>
          <w:sz w:val="21"/>
          <w:szCs w:val="21"/>
        </w:rPr>
      </w:pPr>
      <w:r w:rsidRPr="009C1EBA">
        <w:rPr>
          <w:rFonts w:ascii="Arial" w:hAnsi="Arial" w:cs="Arial"/>
          <w:sz w:val="21"/>
          <w:szCs w:val="21"/>
        </w:rPr>
        <w:t>Fermo restando il necessario adeguamento e allineamento del presente documento all’emanando Piano Nazionale Anticorruzione, esso rientra tra i piani e i programmi Gestionali. Le modalità di aggiornamento saranno pertanto analoghe a quelle previste per l’aggiornamento di tali piani e programmi, e darà atto del grado di raggiungimento degli obiettivi dichiarati secondo gli indicatori ivi previsti.</w:t>
      </w:r>
    </w:p>
    <w:p w:rsidR="00917FEC" w:rsidRPr="009C1EBA" w:rsidRDefault="00917FEC">
      <w:pPr>
        <w:pStyle w:val="P"/>
        <w:spacing w:before="100" w:after="0" w:line="240" w:lineRule="auto"/>
        <w:rPr>
          <w:rFonts w:ascii="Arial" w:hAnsi="Arial" w:cs="Arial"/>
          <w:sz w:val="21"/>
          <w:szCs w:val="21"/>
        </w:rPr>
      </w:pPr>
    </w:p>
    <w:p w:rsidR="00917FEC" w:rsidRPr="009C1EBA" w:rsidRDefault="00A91522">
      <w:pPr>
        <w:pStyle w:val="Titolo2"/>
        <w:rPr>
          <w:i w:val="0"/>
          <w:sz w:val="21"/>
          <w:szCs w:val="21"/>
        </w:rPr>
      </w:pPr>
      <w:bookmarkStart w:id="29" w:name="__RefHeading___Toc1992_761212699"/>
      <w:r w:rsidRPr="009C1EBA">
        <w:rPr>
          <w:i w:val="0"/>
          <w:sz w:val="21"/>
          <w:szCs w:val="21"/>
        </w:rPr>
        <w:lastRenderedPageBreak/>
        <w:t>10.2 CADENZA TEMPORALE DI AGGIORNAMENTO</w:t>
      </w:r>
      <w:bookmarkEnd w:id="29"/>
    </w:p>
    <w:p w:rsidR="00917FEC" w:rsidRPr="009C1EBA" w:rsidRDefault="00A91522">
      <w:pPr>
        <w:pStyle w:val="P"/>
        <w:spacing w:before="100" w:after="0" w:line="240" w:lineRule="auto"/>
        <w:rPr>
          <w:rFonts w:ascii="Arial" w:hAnsi="Arial" w:cs="Arial"/>
          <w:sz w:val="21"/>
          <w:szCs w:val="21"/>
        </w:rPr>
      </w:pPr>
      <w:r w:rsidRPr="009C1EBA">
        <w:rPr>
          <w:rFonts w:ascii="Arial" w:hAnsi="Arial" w:cs="Arial"/>
          <w:sz w:val="21"/>
          <w:szCs w:val="21"/>
        </w:rPr>
        <w:t>I contenuti del Piano, così come le priorità d’intervento e la mappatura e pesatura dei rischi per l’integrità costituiscono aggiornamento del primo Piano Triennale 2014-2016, saranno oggetto di aggiornamento annuale, o se necessario, in corso d’anno, anche in relazione ad eventuali adeguamenti a disposizioni normative e/o a riorganizzazione di processi e/o funzioni.</w:t>
      </w:r>
    </w:p>
    <w:p w:rsidR="00917FEC" w:rsidRPr="009C1EBA" w:rsidRDefault="00917FEC">
      <w:pPr>
        <w:pStyle w:val="P"/>
        <w:spacing w:before="100" w:after="0" w:line="240" w:lineRule="auto"/>
        <w:rPr>
          <w:rFonts w:ascii="Arial" w:hAnsi="Arial" w:cs="Arial"/>
          <w:sz w:val="21"/>
          <w:szCs w:val="21"/>
        </w:rPr>
      </w:pPr>
    </w:p>
    <w:p w:rsidR="00917FEC" w:rsidRPr="009C1EBA" w:rsidRDefault="00A91522">
      <w:pPr>
        <w:pStyle w:val="Titolo1"/>
      </w:pPr>
      <w:bookmarkStart w:id="30" w:name="__RefHeading___Toc1994_761212699"/>
      <w:r w:rsidRPr="009C1EBA">
        <w:rPr>
          <w:rFonts w:ascii="Arial" w:hAnsi="Arial" w:cs="Arial"/>
          <w:sz w:val="24"/>
          <w:szCs w:val="24"/>
        </w:rPr>
        <w:t>11. MAPPA/REGISTRO DEI RISCHI CON LE AZIONI PREVENTIVE E CORRETTIVE, TEMPI E RESPONSABILITÀ</w:t>
      </w:r>
      <w:bookmarkEnd w:id="30"/>
    </w:p>
    <w:p w:rsidR="00917FEC" w:rsidRPr="009C1EBA" w:rsidRDefault="00A91522">
      <w:pPr>
        <w:pStyle w:val="P"/>
        <w:spacing w:before="100" w:after="0" w:line="240" w:lineRule="auto"/>
      </w:pPr>
      <w:r w:rsidRPr="009C1EBA">
        <w:rPr>
          <w:rFonts w:ascii="Arial" w:hAnsi="Arial" w:cs="Arial"/>
          <w:sz w:val="21"/>
          <w:szCs w:val="21"/>
        </w:rPr>
        <w:t>Vedi allegato A “</w:t>
      </w:r>
      <w:r w:rsidRPr="009C1EBA">
        <w:rPr>
          <w:rFonts w:ascii="Arial" w:hAnsi="Arial" w:cs="Arial"/>
          <w:i/>
          <w:sz w:val="21"/>
          <w:szCs w:val="21"/>
        </w:rPr>
        <w:t xml:space="preserve">Piano Anticorruzione del Comune di </w:t>
      </w:r>
      <w:r w:rsidR="007A5A9B" w:rsidRPr="009C1EBA">
        <w:rPr>
          <w:rFonts w:ascii="Arial" w:hAnsi="Arial" w:cs="Arial"/>
          <w:i/>
          <w:sz w:val="21"/>
          <w:szCs w:val="21"/>
        </w:rPr>
        <w:t>Cinte Tesino</w:t>
      </w:r>
      <w:r w:rsidRPr="009C1EBA">
        <w:rPr>
          <w:rFonts w:ascii="Arial" w:hAnsi="Arial" w:cs="Arial"/>
          <w:i/>
          <w:sz w:val="21"/>
          <w:szCs w:val="21"/>
        </w:rPr>
        <w:t xml:space="preserve"> – mappatura dei rischi</w:t>
      </w:r>
      <w:r w:rsidRPr="009C1EBA">
        <w:rPr>
          <w:rFonts w:ascii="Arial" w:hAnsi="Arial" w:cs="Arial"/>
          <w:sz w:val="21"/>
          <w:szCs w:val="21"/>
        </w:rPr>
        <w:t>”</w:t>
      </w:r>
    </w:p>
    <w:p w:rsidR="00917FEC" w:rsidRPr="009C1EBA" w:rsidRDefault="00917FEC">
      <w:pPr>
        <w:pStyle w:val="P"/>
        <w:spacing w:before="100" w:after="0" w:line="240" w:lineRule="auto"/>
        <w:rPr>
          <w:rFonts w:ascii="Arial" w:hAnsi="Arial" w:cs="Arial"/>
          <w:sz w:val="21"/>
          <w:szCs w:val="21"/>
        </w:rPr>
      </w:pPr>
    </w:p>
    <w:p w:rsidR="00917FEC" w:rsidRPr="009C1EBA" w:rsidRDefault="00917FEC">
      <w:pPr>
        <w:pStyle w:val="Standard"/>
        <w:rPr>
          <w:rFonts w:ascii="Arial" w:hAnsi="Arial" w:cs="Arial"/>
          <w:sz w:val="21"/>
          <w:szCs w:val="21"/>
        </w:rPr>
      </w:pPr>
    </w:p>
    <w:p w:rsidR="00917FEC" w:rsidRPr="009C1EBA" w:rsidRDefault="00A91522">
      <w:pPr>
        <w:pStyle w:val="Titolo1"/>
        <w:pageBreakBefore/>
        <w:jc w:val="center"/>
        <w:rPr>
          <w:sz w:val="24"/>
          <w:szCs w:val="24"/>
        </w:rPr>
      </w:pPr>
      <w:bookmarkStart w:id="31" w:name="__RefHeading___Toc1996_761212699"/>
      <w:r w:rsidRPr="009C1EBA">
        <w:rPr>
          <w:sz w:val="24"/>
          <w:szCs w:val="24"/>
        </w:rPr>
        <w:lastRenderedPageBreak/>
        <w:t>APPENDICE NORMATIVA</w:t>
      </w:r>
      <w:bookmarkEnd w:id="31"/>
    </w:p>
    <w:p w:rsidR="00917FEC" w:rsidRPr="009C1EBA" w:rsidRDefault="00A91522">
      <w:pPr>
        <w:pStyle w:val="Standard"/>
        <w:widowControl w:val="0"/>
        <w:spacing w:after="0" w:line="240" w:lineRule="auto"/>
        <w:jc w:val="both"/>
        <w:rPr>
          <w:rFonts w:ascii="Arial" w:hAnsi="Arial" w:cs="Arial"/>
          <w:sz w:val="21"/>
          <w:szCs w:val="21"/>
          <w:lang w:bidi="hi-IN"/>
        </w:rPr>
      </w:pPr>
      <w:r w:rsidRPr="009C1EBA">
        <w:rPr>
          <w:rFonts w:ascii="Arial" w:hAnsi="Arial" w:cs="Arial"/>
          <w:sz w:val="21"/>
          <w:szCs w:val="21"/>
          <w:lang w:bidi="hi-IN"/>
        </w:rPr>
        <w:t>Si riportano di seguito le principali fonti normative sul tema della trasparenza e dell’integrità.</w:t>
      </w:r>
    </w:p>
    <w:p w:rsidR="00917FEC" w:rsidRPr="009C1EBA" w:rsidRDefault="00917FEC">
      <w:pPr>
        <w:pStyle w:val="Standard"/>
        <w:widowControl w:val="0"/>
        <w:spacing w:after="0" w:line="240" w:lineRule="auto"/>
        <w:ind w:left="360" w:hanging="360"/>
        <w:jc w:val="both"/>
        <w:rPr>
          <w:rFonts w:ascii="Arial" w:hAnsi="Arial" w:cs="Arial"/>
          <w:sz w:val="21"/>
          <w:szCs w:val="21"/>
          <w:lang w:bidi="hi-IN"/>
        </w:rPr>
      </w:pPr>
    </w:p>
    <w:p w:rsidR="00917FEC" w:rsidRPr="009C1EBA" w:rsidRDefault="00A91522">
      <w:pPr>
        <w:pStyle w:val="Standard"/>
        <w:widowControl w:val="0"/>
        <w:numPr>
          <w:ilvl w:val="0"/>
          <w:numId w:val="27"/>
        </w:numPr>
        <w:spacing w:after="0" w:line="240" w:lineRule="auto"/>
        <w:jc w:val="both"/>
      </w:pPr>
      <w:r w:rsidRPr="009C1EBA">
        <w:rPr>
          <w:rFonts w:ascii="Arial" w:hAnsi="Arial" w:cs="Arial"/>
          <w:sz w:val="21"/>
          <w:szCs w:val="21"/>
          <w:lang w:bidi="hi-IN"/>
        </w:rPr>
        <w:t>L. 07.08.2015 n. 124 “</w:t>
      </w:r>
      <w:r w:rsidRPr="009C1EBA">
        <w:rPr>
          <w:rFonts w:ascii="Arial" w:hAnsi="Arial" w:cs="Arial"/>
          <w:i/>
          <w:sz w:val="21"/>
          <w:szCs w:val="21"/>
          <w:lang w:bidi="hi-IN"/>
        </w:rPr>
        <w:t>Deleghe al Governo in materia di riorganizzazione delle amministrazioni pubbliche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11.08.2014, n. 114 di conversione del D.L. 24.06.2014, n. 90, recante all’art. 19: “</w:t>
      </w:r>
      <w:r w:rsidRPr="009C1EBA">
        <w:rPr>
          <w:rFonts w:ascii="Arial" w:hAnsi="Arial" w:cs="Arial"/>
          <w:i/>
          <w:sz w:val="21"/>
          <w:szCs w:val="21"/>
          <w:lang w:bidi="hi-IN"/>
        </w:rPr>
        <w:t>Soppressione dell’Autorità per la vigilanza sui contratti  pubblici di lavori, servizi e forniture e definizione delle funzioni dell’Autorità nazionale anticorruzione</w:t>
      </w:r>
      <w:r w:rsidRPr="009C1EBA">
        <w:rPr>
          <w:rFonts w:ascii="Arial" w:hAnsi="Arial" w:cs="Arial"/>
          <w:sz w:val="21"/>
          <w:szCs w:val="21"/>
          <w:lang w:bidi="hi-IN"/>
        </w:rPr>
        <w:t>” e all’art. 32: “</w:t>
      </w:r>
      <w:r w:rsidRPr="009C1EBA">
        <w:rPr>
          <w:rFonts w:ascii="Arial" w:hAnsi="Arial" w:cs="Arial"/>
          <w:i/>
          <w:sz w:val="21"/>
          <w:szCs w:val="21"/>
          <w:lang w:bidi="hi-IN"/>
        </w:rPr>
        <w:t>Misure straordinarie di gestione, sostegno e monitoraggio di imprese nell'ambito della prevenzione della corruzione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06.11.2012 n. 190 “</w:t>
      </w:r>
      <w:r w:rsidRPr="009C1EBA">
        <w:rPr>
          <w:rFonts w:ascii="Arial" w:hAnsi="Arial" w:cs="Arial"/>
          <w:i/>
          <w:sz w:val="21"/>
          <w:szCs w:val="21"/>
          <w:lang w:bidi="hi-IN"/>
        </w:rPr>
        <w:t>Disposizioni per la prevenzione e la repressione della corruzione e dell’illegalità nella pubblica amministrazione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L. 28.06.2012 n. 110 e L. 28.06.2012 n. 112, di ratifica di due convenzioni del Consiglio d’Europa siglate a Strasburgo nel 1999.</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11.11.2011 n. 180 “</w:t>
      </w:r>
      <w:r w:rsidRPr="009C1EBA">
        <w:rPr>
          <w:rFonts w:ascii="Arial" w:hAnsi="Arial" w:cs="Arial"/>
          <w:i/>
          <w:sz w:val="21"/>
          <w:szCs w:val="21"/>
          <w:lang w:bidi="hi-IN"/>
        </w:rPr>
        <w:t>Norme per la tutela della libertà d’impresa. Statuto delle imprese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12.07.2011 n.106 “</w:t>
      </w:r>
      <w:r w:rsidRPr="009C1EBA">
        <w:rPr>
          <w:rFonts w:ascii="Arial" w:hAnsi="Arial" w:cs="Arial"/>
          <w:i/>
          <w:sz w:val="21"/>
          <w:szCs w:val="21"/>
          <w:lang w:bidi="hi-IN"/>
        </w:rPr>
        <w:t>Conversione in legge, con modificazioni, del decreto-legge 13 maggio 2011 n. 70, concernente Semestre Europeo - Prime disposizioni urgenti per l'economia</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03.08.2009 n.116 “</w:t>
      </w:r>
      <w:r w:rsidRPr="009C1EBA">
        <w:rPr>
          <w:rFonts w:ascii="Arial" w:hAnsi="Arial" w:cs="Arial"/>
          <w:i/>
          <w:sz w:val="21"/>
          <w:szCs w:val="21"/>
          <w:lang w:bidi="hi-IN"/>
        </w:rPr>
        <w:t>Ratifica della Convenzione dell’Organizzazione delle Nazioni Unite contro la corruzione del 31 ottobre 2003</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18.06.2009 n. 69 “</w:t>
      </w:r>
      <w:r w:rsidRPr="009C1EBA">
        <w:rPr>
          <w:rFonts w:ascii="Arial" w:hAnsi="Arial" w:cs="Arial"/>
          <w:i/>
          <w:sz w:val="21"/>
          <w:szCs w:val="21"/>
          <w:lang w:bidi="hi-IN"/>
        </w:rPr>
        <w:t>Disposizioni per lo sviluppo economico, la semplificazione, la competitività nonché in materia di processo civile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L. R. (Regione Autonoma Trentino - Alto Adige) 29.10.2014 n.10  recante “</w:t>
      </w:r>
      <w:r w:rsidRPr="009C1EBA">
        <w:rPr>
          <w:rFonts w:ascii="Arial" w:hAnsi="Arial" w:cs="Arial"/>
          <w:i/>
          <w:sz w:val="21"/>
          <w:szCs w:val="21"/>
          <w:lang w:bidi="hi-IN"/>
        </w:rPr>
        <w:t>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L. R. (Regione Autonoma Trentino - Alto Adige) 13.12.2012 n. 8, recante all’art.7 le disposizioni in materia di “Amministrazione aperta”, successivamente modificata con L. R. TAA. 05.02.2013 n. 1 e L. R. 02.05.2013 n.3, in tema di trasparenza ed integrità (si veda circolare n. 3/EL/2013/BZ/di data 15.05.2013), e da ultima modificata dalla L.R. n.10/2014 di cui sopra.</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L. R. (Regione Autonoma Trentino - Alto Adige) 21 settembre 2005, n. 7 recante Nuovo ordinamento delle istituzioni pubbliche di assistenza e beneficenza – aziende pubbliche di servizi alla persona</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08.06.2016 n. 97 “</w:t>
      </w:r>
      <w:r w:rsidRPr="009C1EBA">
        <w:rPr>
          <w:rFonts w:ascii="Arial" w:hAnsi="Arial" w:cs="Arial"/>
          <w:i/>
          <w:sz w:val="21"/>
          <w:szCs w:val="21"/>
          <w:lang w:bidi="hi-IN"/>
        </w:rPr>
        <w:t>Revisione e semplificazione delle disposizioni in materia di prevenzione della corruzione e di trasparenza</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14.03.2013 n. 39 “</w:t>
      </w:r>
      <w:r w:rsidRPr="009C1EBA">
        <w:rPr>
          <w:rFonts w:ascii="Arial" w:hAnsi="Arial" w:cs="Arial"/>
          <w:i/>
          <w:sz w:val="21"/>
          <w:szCs w:val="21"/>
          <w:lang w:bidi="hi-IN"/>
        </w:rPr>
        <w:t>Riordino della disciplina riguardante gli obblighi di pubblicità, trasparenza e diffusione di informazioni da parte delle pubbliche amministrazioni</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 xml:space="preserve">D. Lgs. 14.03.2013 n. 33 </w:t>
      </w:r>
      <w:r w:rsidRPr="009C1EBA">
        <w:rPr>
          <w:rFonts w:ascii="Arial" w:eastAsia="Arial Unicode MS" w:hAnsi="Arial" w:cs="Arial"/>
          <w:sz w:val="21"/>
          <w:szCs w:val="21"/>
          <w:lang w:bidi="hi-IN"/>
        </w:rPr>
        <w:t>“</w:t>
      </w:r>
      <w:r w:rsidRPr="009C1EBA">
        <w:rPr>
          <w:rFonts w:ascii="Arial" w:eastAsia="Arial Unicode MS" w:hAnsi="Arial" w:cs="Arial"/>
          <w:i/>
          <w:sz w:val="21"/>
          <w:szCs w:val="21"/>
          <w:lang w:bidi="hi-IN"/>
        </w:rPr>
        <w:t>Disposizioni in materia di inconferibilità e incompatibilità di incarichi presso le pubbliche amministrazioni e presso gli enti privati in controllo pubblico, a norma dell’articolo 1, commi 49 e 50, della legge 6 novembre 2012, n. 190</w:t>
      </w:r>
      <w:r w:rsidRPr="009C1EBA">
        <w:rPr>
          <w:rFonts w:ascii="Arial" w:eastAsia="Arial Unicode MS"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eastAsia="Arial Unicode MS" w:hAnsi="Arial" w:cs="Arial"/>
          <w:sz w:val="21"/>
          <w:szCs w:val="21"/>
          <w:lang w:bidi="hi-IN"/>
        </w:rPr>
        <w:t>D. Lgs. 27.10.2009 n. 150 “</w:t>
      </w:r>
      <w:r w:rsidRPr="009C1EBA">
        <w:rPr>
          <w:rFonts w:ascii="Arial" w:eastAsia="Arial Unicode MS" w:hAnsi="Arial" w:cs="Arial"/>
          <w:i/>
          <w:sz w:val="21"/>
          <w:szCs w:val="21"/>
          <w:lang w:bidi="hi-IN"/>
        </w:rPr>
        <w:t>Attuazione della legge 4 marzo 2009, n. 15, in materia di ottimizzazione della produttività del lavoro pubblico e di efficienza e trasparenza delle pubbliche amministrazioni</w:t>
      </w:r>
      <w:r w:rsidRPr="009C1EBA">
        <w:rPr>
          <w:rFonts w:ascii="Arial" w:eastAsia="Arial Unicode MS"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12.04.2006 n. 163 e ss. mm. “</w:t>
      </w:r>
      <w:r w:rsidRPr="009C1EBA">
        <w:rPr>
          <w:rFonts w:ascii="Arial" w:hAnsi="Arial" w:cs="Arial"/>
          <w:i/>
          <w:sz w:val="21"/>
          <w:szCs w:val="21"/>
          <w:lang w:bidi="hi-IN"/>
        </w:rPr>
        <w:t>Codice dei contratti pubblici relativi a lavori, servizi e forniture in attuazione delle direttive 2004/17/CE e 2004/18/CE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07.03.2005 n. 82  ss. mm. “</w:t>
      </w:r>
      <w:r w:rsidRPr="009C1EBA">
        <w:rPr>
          <w:rFonts w:ascii="Arial" w:hAnsi="Arial" w:cs="Arial"/>
          <w:i/>
          <w:sz w:val="21"/>
          <w:szCs w:val="21"/>
          <w:lang w:bidi="hi-IN"/>
        </w:rPr>
        <w:t>Codice dell’amministrazione digitale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30.06.2003 n. 196 “</w:t>
      </w:r>
      <w:r w:rsidRPr="009C1EBA">
        <w:rPr>
          <w:rFonts w:ascii="Arial" w:hAnsi="Arial" w:cs="Arial"/>
          <w:i/>
          <w:sz w:val="21"/>
          <w:szCs w:val="21"/>
          <w:lang w:bidi="hi-IN"/>
        </w:rPr>
        <w:t>Codice in materia di protezione dei dati personali</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 Lgs. 30.03.2001 n. 165 “</w:t>
      </w:r>
      <w:r w:rsidRPr="009C1EBA">
        <w:rPr>
          <w:rFonts w:ascii="Arial" w:hAnsi="Arial" w:cs="Arial"/>
          <w:i/>
          <w:sz w:val="21"/>
          <w:szCs w:val="21"/>
          <w:lang w:bidi="hi-IN"/>
        </w:rPr>
        <w:t>Norme generali sull’ordinamento del lavoro alle dipendenze delle amministrazioni pubbliche</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D.P.R. 16.04.2013 n. 62 “</w:t>
      </w:r>
      <w:r w:rsidRPr="009C1EBA">
        <w:rPr>
          <w:rFonts w:ascii="Arial" w:hAnsi="Arial" w:cs="Arial"/>
          <w:i/>
          <w:sz w:val="21"/>
          <w:szCs w:val="21"/>
          <w:lang w:bidi="hi-IN"/>
        </w:rPr>
        <w:t>Regolamento recante codice di comportamento dei dipendenti pubblici, a norma dell'articolo 54 del decreto legislativo 30 marzo 2001, n. 165</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lastRenderedPageBreak/>
        <w:t>D.P.R. 23.04.2004 n. 108 “Regolamento recante disciplina per l’istituzione, l’organizzazione ed il funzionamento del ruolo dei dirigenti presso le amministrazioni dello Stato, anche ad ordinamento autonomo”.</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D.P.R. 07.04.2000 n. 118 “</w:t>
      </w:r>
      <w:r w:rsidRPr="009C1EBA">
        <w:rPr>
          <w:rFonts w:ascii="Arial" w:hAnsi="Arial" w:cs="Arial"/>
          <w:i/>
          <w:sz w:val="21"/>
          <w:szCs w:val="21"/>
          <w:lang w:bidi="hi-IN"/>
        </w:rPr>
        <w:t>Regolamento recante norme per la semplificazione del procedimento per la disciplina degli albi dei beneficiari di provvidenze di natura economica, a norma dell’articolo 20, comma 8, della legge 15 marzo 1997, n. 59</w:t>
      </w:r>
      <w:r w:rsidRPr="009C1EBA">
        <w:rPr>
          <w:rFonts w:ascii="Arial" w:hAnsi="Arial" w:cs="Arial"/>
          <w:sz w:val="21"/>
          <w:szCs w:val="21"/>
          <w:lang w:bidi="hi-IN"/>
        </w:rPr>
        <w:t>”.</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rsidR="00917FEC" w:rsidRPr="009C1EBA" w:rsidRDefault="00A91522">
      <w:pPr>
        <w:pStyle w:val="Standard"/>
        <w:widowControl w:val="0"/>
        <w:numPr>
          <w:ilvl w:val="0"/>
          <w:numId w:val="8"/>
        </w:numPr>
        <w:spacing w:after="0" w:line="240" w:lineRule="auto"/>
        <w:jc w:val="both"/>
        <w:rPr>
          <w:rFonts w:ascii="Arial" w:hAnsi="Arial" w:cs="Arial"/>
          <w:sz w:val="21"/>
          <w:szCs w:val="21"/>
          <w:lang w:bidi="hi-IN"/>
        </w:rPr>
      </w:pPr>
      <w:r w:rsidRPr="009C1EBA">
        <w:rPr>
          <w:rFonts w:ascii="Arial" w:hAnsi="Arial" w:cs="Arial"/>
          <w:sz w:val="21"/>
          <w:szCs w:val="21"/>
          <w:lang w:bidi="hi-IN"/>
        </w:rPr>
        <w:t>Codice etico funzione pubblica di data 28.11.2000.</w:t>
      </w:r>
    </w:p>
    <w:p w:rsidR="00917FEC" w:rsidRPr="009C1EBA" w:rsidRDefault="00A91522">
      <w:pPr>
        <w:pStyle w:val="Standard"/>
        <w:widowControl w:val="0"/>
        <w:numPr>
          <w:ilvl w:val="0"/>
          <w:numId w:val="8"/>
        </w:numPr>
        <w:spacing w:after="0" w:line="240" w:lineRule="auto"/>
        <w:jc w:val="both"/>
      </w:pPr>
      <w:r w:rsidRPr="009C1EBA">
        <w:rPr>
          <w:rFonts w:ascii="Arial" w:hAnsi="Arial" w:cs="Arial"/>
          <w:sz w:val="21"/>
          <w:szCs w:val="21"/>
          <w:lang w:bidi="hi-IN"/>
        </w:rPr>
        <w:t>Codice etico per gli amministratori locali – “</w:t>
      </w:r>
      <w:r w:rsidRPr="009C1EBA">
        <w:rPr>
          <w:rFonts w:ascii="Arial" w:hAnsi="Arial" w:cs="Arial"/>
          <w:i/>
          <w:sz w:val="21"/>
          <w:szCs w:val="21"/>
          <w:lang w:bidi="hi-IN"/>
        </w:rPr>
        <w:t>Carta di Pisa</w:t>
      </w:r>
      <w:r w:rsidRPr="009C1EBA">
        <w:rPr>
          <w:rFonts w:ascii="Arial" w:hAnsi="Arial" w:cs="Arial"/>
          <w:sz w:val="21"/>
          <w:szCs w:val="21"/>
          <w:lang w:bidi="hi-IN"/>
        </w:rPr>
        <w:t>”.</w:t>
      </w:r>
    </w:p>
    <w:p w:rsidR="00917FEC" w:rsidRPr="009C1EBA" w:rsidRDefault="00A91522">
      <w:pPr>
        <w:pStyle w:val="Standard"/>
        <w:widowControl w:val="0"/>
        <w:numPr>
          <w:ilvl w:val="0"/>
          <w:numId w:val="28"/>
        </w:numPr>
        <w:spacing w:after="0" w:line="240" w:lineRule="auto"/>
        <w:jc w:val="both"/>
        <w:rPr>
          <w:rFonts w:ascii="Arial" w:hAnsi="Arial" w:cs="Arial"/>
          <w:sz w:val="21"/>
          <w:szCs w:val="21"/>
          <w:lang w:bidi="hi-IN"/>
        </w:rPr>
      </w:pPr>
      <w:r w:rsidRPr="009C1EBA">
        <w:rPr>
          <w:rFonts w:ascii="Arial" w:hAnsi="Arial" w:cs="Arial"/>
          <w:sz w:val="21"/>
          <w:szCs w:val="21"/>
          <w:lang w:bidi="hi-IN"/>
        </w:rPr>
        <w:t>Convenzione dell’O.N.U. contro la corruzione, adottata dall’Assemblea Generale dell’Organizzazione in data 31.10.2003 con la risoluzione n. 58/4, sottoscritta dallo Stato italiano in data 09.12.2003 e ratificata con la L.  03.08.2009 n. 116.</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Intesa di data 24.07.2013 in sede di Conferenza Unificata tra Governo ed Enti Locali, attuativa della L. 06.11.2012 n. 190 (art. 1, commi 60 e 61).</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Piano nazionale anticorruzione 2013 predisposto dal Dipartimento della Funzione Pubblica, ai sensi della L. 06.11.2012 n. 190, e approvato dalla CIVIT in data 11.09.2013.</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Aggiornamento 2015 al Piano Nazionale Anticorruzione, Determinazione ANAC n. 12 del 28 ottobre 2015</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Piano nazionale anticorruzione 2016, predisposto da ANAC ai sensi della L. 06.11.2012 n. 190, Delibera ANAC n.831 del 3 agosto 2016</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Piano nazionale anticorruzione 2017, predisposto da ANAC ai sensi della L. 06.11.2012 n. 190, Delibera ANAC n.1208 del 3 agosto 2016;</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Delibera ANAC n. 1134 dell’8 novembre 2017;</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Circolari n. 1 di data 25.01.2013 e n. 2 di data 29.07.2013 della Presidenza del Consiglio dei Ministri – Dipartimento della Funzione Pubblica.</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Linee di indirizzo del Comitato interministeriale (D.P.C.M. 16.01.2013) per la predisposizione, da parte del Dipartimento della Funzione Pubblica, del Piano nazionale anticorruzione di cui alla L. 06.11.2012 n. 190.</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D.P.C.M. 18.04.2013 attinente le modalità per l'istituzione e l'aggiornamento degli elenchi dei fornitori, prestatori di servizi ed esecutori non soggetti a tentativo di infiltrazione mafiosa, di cui all'art. 1, comma 52, della L. 06.11.2012 n. 190.</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Delibera CIVIT n. 72/2013 con cui è stato approvato il Piano nazionale anticorruzione predisposto dal Dipartimento della Funzione Pubblica.</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Delibera CIVIT n. 15/2013 in tema di organo competente a nominare il Responsabile della prevenzione della corruzione nei comuni.</w:t>
      </w:r>
    </w:p>
    <w:p w:rsidR="00917FEC" w:rsidRPr="009C1EBA" w:rsidRDefault="00A91522">
      <w:pPr>
        <w:pStyle w:val="Standard"/>
        <w:widowControl w:val="0"/>
        <w:numPr>
          <w:ilvl w:val="0"/>
          <w:numId w:val="15"/>
        </w:numPr>
        <w:spacing w:after="0" w:line="240" w:lineRule="auto"/>
        <w:jc w:val="both"/>
        <w:rPr>
          <w:rFonts w:ascii="Arial" w:hAnsi="Arial" w:cs="Arial"/>
          <w:sz w:val="21"/>
          <w:szCs w:val="21"/>
          <w:lang w:bidi="hi-IN"/>
        </w:rPr>
      </w:pPr>
      <w:r w:rsidRPr="009C1EBA">
        <w:rPr>
          <w:rFonts w:ascii="Arial" w:hAnsi="Arial" w:cs="Arial"/>
          <w:sz w:val="21"/>
          <w:szCs w:val="21"/>
          <w:lang w:bidi="hi-IN"/>
        </w:rPr>
        <w:t>Delibera CIVIT n. 2/2012 “Linee guida per il miglioramento della predisposizione e dell’aggiornamento del Programma triennale per la trasparenza e l’integrità”.</w:t>
      </w:r>
    </w:p>
    <w:p w:rsidR="00917FEC" w:rsidRPr="009C1EBA" w:rsidRDefault="00A91522">
      <w:pPr>
        <w:pStyle w:val="Standard"/>
        <w:widowControl w:val="0"/>
        <w:numPr>
          <w:ilvl w:val="0"/>
          <w:numId w:val="15"/>
        </w:numPr>
        <w:spacing w:after="0" w:line="240" w:lineRule="auto"/>
        <w:jc w:val="both"/>
      </w:pPr>
      <w:r w:rsidRPr="009C1EBA">
        <w:rPr>
          <w:rFonts w:ascii="Arial" w:hAnsi="Arial" w:cs="Arial"/>
          <w:sz w:val="21"/>
          <w:szCs w:val="21"/>
          <w:lang w:bidi="hi-IN"/>
        </w:rPr>
        <w:t>Delibera CI</w:t>
      </w:r>
      <w:bookmarkStart w:id="32" w:name="_GoBack"/>
      <w:bookmarkEnd w:id="32"/>
      <w:r w:rsidRPr="009C1EBA">
        <w:rPr>
          <w:rFonts w:ascii="Arial" w:hAnsi="Arial" w:cs="Arial"/>
          <w:sz w:val="21"/>
          <w:szCs w:val="21"/>
          <w:lang w:bidi="hi-IN"/>
        </w:rPr>
        <w:t>VIT n. 105/2010 “Linee guida per la predisposizione del Programma triennale per la trasparenza e l’integrità (art. 13, comma 6, lettera e, del decreto legislativo 27 ottobre 2009, n. 150)”.</w:t>
      </w:r>
    </w:p>
    <w:p w:rsidR="007A5A9B" w:rsidRPr="009C1EBA" w:rsidRDefault="007A5A9B" w:rsidP="007A5A9B">
      <w:pPr>
        <w:pStyle w:val="Standard"/>
        <w:widowControl w:val="0"/>
        <w:spacing w:after="0" w:line="240" w:lineRule="auto"/>
        <w:jc w:val="both"/>
        <w:rPr>
          <w:rFonts w:ascii="Arial" w:hAnsi="Arial" w:cs="Arial"/>
          <w:sz w:val="21"/>
          <w:szCs w:val="21"/>
          <w:lang w:bidi="hi-IN"/>
        </w:rPr>
      </w:pPr>
    </w:p>
    <w:p w:rsidR="007A5A9B" w:rsidRPr="009C1EBA" w:rsidRDefault="007A5A9B" w:rsidP="007A5A9B">
      <w:pPr>
        <w:pStyle w:val="Standard"/>
        <w:widowControl w:val="0"/>
        <w:spacing w:after="0" w:line="240" w:lineRule="auto"/>
        <w:jc w:val="both"/>
        <w:rPr>
          <w:rFonts w:ascii="Arial" w:hAnsi="Arial" w:cs="Arial"/>
          <w:sz w:val="21"/>
          <w:szCs w:val="21"/>
          <w:lang w:bidi="hi-IN"/>
        </w:rPr>
      </w:pPr>
    </w:p>
    <w:p w:rsidR="00895721" w:rsidRDefault="00895721" w:rsidP="007A5A9B">
      <w:pPr>
        <w:pStyle w:val="Standard"/>
        <w:widowControl w:val="0"/>
        <w:spacing w:after="0" w:line="240" w:lineRule="auto"/>
        <w:jc w:val="both"/>
        <w:rPr>
          <w:rFonts w:ascii="Arial" w:hAnsi="Arial" w:cs="Arial"/>
          <w:sz w:val="21"/>
          <w:szCs w:val="21"/>
          <w:lang w:bidi="hi-IN"/>
        </w:rPr>
        <w:sectPr w:rsidR="00895721">
          <w:headerReference w:type="default" r:id="rId18"/>
          <w:footerReference w:type="default" r:id="rId19"/>
          <w:pgSz w:w="11906" w:h="16838"/>
          <w:pgMar w:top="1417" w:right="1134" w:bottom="1134" w:left="1134" w:header="720" w:footer="896" w:gutter="0"/>
          <w:cols w:space="720"/>
        </w:sectPr>
      </w:pPr>
    </w:p>
    <w:p w:rsidR="007A5A9B" w:rsidRPr="009C1EBA" w:rsidRDefault="007A5A9B" w:rsidP="007A5A9B">
      <w:pPr>
        <w:pStyle w:val="Standard"/>
        <w:widowControl w:val="0"/>
        <w:spacing w:after="0" w:line="240" w:lineRule="auto"/>
        <w:jc w:val="both"/>
        <w:rPr>
          <w:rFonts w:ascii="Arial" w:hAnsi="Arial" w:cs="Arial"/>
          <w:sz w:val="21"/>
          <w:szCs w:val="21"/>
          <w:lang w:bidi="hi-IN"/>
        </w:rPr>
      </w:pPr>
    </w:p>
    <w:tbl>
      <w:tblPr>
        <w:tblStyle w:val="Grigliatabella"/>
        <w:tblW w:w="14737" w:type="dxa"/>
        <w:tblLayout w:type="fixed"/>
        <w:tblLook w:val="04A0" w:firstRow="1" w:lastRow="0" w:firstColumn="1" w:lastColumn="0" w:noHBand="0" w:noVBand="1"/>
      </w:tblPr>
      <w:tblGrid>
        <w:gridCol w:w="937"/>
        <w:gridCol w:w="1185"/>
        <w:gridCol w:w="1842"/>
        <w:gridCol w:w="1701"/>
        <w:gridCol w:w="1560"/>
        <w:gridCol w:w="2538"/>
        <w:gridCol w:w="1005"/>
        <w:gridCol w:w="994"/>
        <w:gridCol w:w="1133"/>
        <w:gridCol w:w="1842"/>
      </w:tblGrid>
      <w:tr w:rsidR="00895721" w:rsidRPr="00895721" w:rsidTr="00895721">
        <w:trPr>
          <w:trHeight w:val="2139"/>
        </w:trPr>
        <w:tc>
          <w:tcPr>
            <w:tcW w:w="937"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Area </w:t>
            </w:r>
          </w:p>
        </w:tc>
        <w:tc>
          <w:tcPr>
            <w:tcW w:w="1185"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Ambito</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Catalogo dei processi</w:t>
            </w:r>
          </w:p>
        </w:tc>
        <w:tc>
          <w:tcPr>
            <w:tcW w:w="1701" w:type="dxa"/>
            <w:hideMark/>
          </w:tcPr>
          <w:p w:rsidR="00895721" w:rsidRPr="00895721" w:rsidRDefault="00895721" w:rsidP="00895721">
            <w:pPr>
              <w:pStyle w:val="Standard"/>
              <w:jc w:val="center"/>
              <w:rPr>
                <w:rFonts w:ascii="Arial Narrow" w:hAnsi="Arial Narrow" w:cs="Arial"/>
                <w:b/>
                <w:bCs/>
                <w:sz w:val="18"/>
                <w:szCs w:val="18"/>
              </w:rPr>
            </w:pPr>
            <w:bookmarkStart w:id="33" w:name="RANGE!D1:D117"/>
            <w:r w:rsidRPr="00895721">
              <w:rPr>
                <w:rFonts w:ascii="Arial Narrow" w:hAnsi="Arial Narrow" w:cs="Arial"/>
                <w:b/>
                <w:bCs/>
                <w:sz w:val="18"/>
                <w:szCs w:val="18"/>
              </w:rPr>
              <w:t>indice di rischio:  probabilità*impatto</w:t>
            </w:r>
            <w:bookmarkEnd w:id="33"/>
          </w:p>
        </w:tc>
        <w:tc>
          <w:tcPr>
            <w:tcW w:w="1560"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Registro dei Rischi</w:t>
            </w:r>
          </w:p>
        </w:tc>
        <w:tc>
          <w:tcPr>
            <w:tcW w:w="2538"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Azioni preventive</w:t>
            </w:r>
          </w:p>
        </w:tc>
        <w:tc>
          <w:tcPr>
            <w:tcW w:w="1005"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Scadenza</w:t>
            </w:r>
          </w:p>
        </w:tc>
        <w:tc>
          <w:tcPr>
            <w:tcW w:w="994"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evidenza/output</w:t>
            </w:r>
          </w:p>
        </w:tc>
        <w:tc>
          <w:tcPr>
            <w:tcW w:w="1133"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Titolare della misura</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note/oneri finanziari/connessione a strumenti di programmazione</w:t>
            </w:r>
          </w:p>
        </w:tc>
      </w:tr>
      <w:tr w:rsidR="00895721" w:rsidRPr="00895721" w:rsidTr="00895721">
        <w:trPr>
          <w:trHeight w:val="3828"/>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Edilizia Privata</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Gestione degli atti abilitativi (concessioni edilizie, permessi di costruire, autorizzazioni paesaggistiche, agibilità edilizia, ecc.)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Rischio "Disomogeneità delle valutazioni"                           </w:t>
            </w:r>
            <w:r w:rsidRPr="00895721">
              <w:rPr>
                <w:rFonts w:ascii="Arial Narrow" w:hAnsi="Arial Narrow" w:cs="Arial"/>
                <w:sz w:val="18"/>
                <w:szCs w:val="18"/>
              </w:rPr>
              <w:br/>
              <w:t>Esplicitazione della documentazione necessaria per l’attivazione delle pratiche e delle richieste di integrazione</w:t>
            </w:r>
            <w:r w:rsidRPr="00895721">
              <w:rPr>
                <w:rFonts w:ascii="Arial Narrow" w:hAnsi="Arial Narrow" w:cs="Arial"/>
                <w:sz w:val="18"/>
                <w:szCs w:val="18"/>
              </w:rPr>
              <w:br/>
              <w:t>Codificazione dei criteri di controlli sulle dichiarazioni</w:t>
            </w:r>
            <w:r w:rsidRPr="00895721">
              <w:rPr>
                <w:rFonts w:ascii="Arial Narrow" w:hAnsi="Arial Narrow" w:cs="Arial"/>
                <w:sz w:val="18"/>
                <w:szCs w:val="18"/>
              </w:rPr>
              <w:br/>
              <w:t>Verifica della conclusione di tutte le pendenze autorizzatorie relative all'immobile</w:t>
            </w:r>
            <w:r w:rsidRPr="00895721">
              <w:rPr>
                <w:rFonts w:ascii="Arial Narrow" w:hAnsi="Arial Narrow" w:cs="Arial"/>
                <w:sz w:val="18"/>
                <w:szCs w:val="18"/>
              </w:rPr>
              <w:br/>
              <w:t>Compilazione di check list puntuale per istruttoria                                                      Pubblicazione di FAQ o pareri interpretarivi da parte della commissione edilizia Previsione di pluralità di firme sull'istruttoria (ove possibile)</w:t>
            </w:r>
            <w:r w:rsidRPr="00895721">
              <w:rPr>
                <w:rFonts w:ascii="Arial Narrow" w:hAnsi="Arial Narrow" w:cs="Arial"/>
                <w:sz w:val="18"/>
                <w:szCs w:val="18"/>
              </w:rPr>
              <w:br/>
            </w:r>
            <w:r w:rsidRPr="00895721">
              <w:rPr>
                <w:rFonts w:ascii="Arial Narrow" w:hAnsi="Arial Narrow" w:cs="Arial"/>
                <w:sz w:val="18"/>
                <w:szCs w:val="18"/>
              </w:rPr>
              <w:br/>
              <w:t xml:space="preserve">Rispetto della check list e dei criteri preventivi di controlli sulle dichiarazioni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 - Istruzione operativa - Guida pratica – FAQ</w:t>
            </w:r>
            <w:r w:rsidRPr="00895721">
              <w:rPr>
                <w:rFonts w:ascii="Arial Narrow" w:hAnsi="Arial Narrow" w:cs="Arial"/>
                <w:sz w:val="18"/>
                <w:szCs w:val="18"/>
              </w:rPr>
              <w:br/>
            </w:r>
            <w:r w:rsidRPr="00895721">
              <w:rPr>
                <w:rFonts w:ascii="Arial Narrow" w:hAnsi="Arial Narrow" w:cs="Arial"/>
                <w:sz w:val="18"/>
                <w:szCs w:val="18"/>
              </w:rPr>
              <w:br/>
              <w:t>Attestazione del responsabile sulla corretta attuazione dei criteri e delle indicazioni della check list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30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Pubblicizzazione del calendario sedute commissione e tempi minimi per la presentazione o integrazione delle pratiche</w:t>
            </w:r>
            <w:r w:rsidRPr="00895721">
              <w:rPr>
                <w:rFonts w:ascii="Arial Narrow" w:hAnsi="Arial Narrow" w:cs="Arial"/>
                <w:sz w:val="18"/>
                <w:szCs w:val="18"/>
              </w:rPr>
              <w:br/>
              <w:t>Procedura formalizzata e informatizzata che garantisca la tracciabilità delle istanze e tiene conto dell'ordine cronologico di arrivo salve motivate eccezioni</w:t>
            </w:r>
            <w:r w:rsidRPr="00895721">
              <w:rPr>
                <w:rFonts w:ascii="Arial Narrow" w:hAnsi="Arial Narrow" w:cs="Arial"/>
                <w:sz w:val="18"/>
                <w:szCs w:val="18"/>
              </w:rPr>
              <w:br/>
              <w:t>Monitoraggio periodico dei tempi di evasione istanze, per tipologia di procedimento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Calendario - Avviso al pubblico - P3 - Tempistica del monitoraggio</w:t>
            </w:r>
            <w:r w:rsidRPr="00895721">
              <w:rPr>
                <w:rFonts w:ascii="Arial Narrow" w:hAnsi="Arial Narrow" w:cs="Arial"/>
                <w:sz w:val="18"/>
                <w:szCs w:val="18"/>
              </w:rPr>
              <w:br/>
            </w:r>
            <w:r w:rsidRPr="00895721">
              <w:rPr>
                <w:rFonts w:ascii="Arial Narrow" w:hAnsi="Arial Narrow" w:cs="Arial"/>
                <w:sz w:val="18"/>
                <w:szCs w:val="18"/>
              </w:rPr>
              <w:br/>
              <w:t>Pubblicazione risultanze tempi procedimentali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728"/>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Edilizia Privata</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della segnalazione di inizio di attività edilizie (art 105-106 l.p. 1/2008)</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br/>
              <w:t>Assenza di criteri di campionamento</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Disomogeneità delle valutazioni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"Assenza di criteri di campionamento"</w:t>
            </w:r>
            <w:r w:rsidRPr="00895721">
              <w:rPr>
                <w:rFonts w:ascii="Arial Narrow" w:hAnsi="Arial Narrow" w:cs="Arial"/>
                <w:sz w:val="18"/>
                <w:szCs w:val="18"/>
              </w:rPr>
              <w:br/>
              <w:t>Formalizzazione dei criteri statistici per la creazione del campione di pratiche da controllare, con priorità per alcune tipologie di pratiche</w:t>
            </w:r>
            <w:r w:rsidRPr="00895721">
              <w:rPr>
                <w:rFonts w:ascii="Arial Narrow" w:hAnsi="Arial Narrow" w:cs="Arial"/>
                <w:sz w:val="18"/>
                <w:szCs w:val="18"/>
              </w:rPr>
              <w:br/>
              <w:t xml:space="preserve">Controllo a campione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Relazione</w:t>
            </w:r>
            <w:r w:rsidRPr="00895721">
              <w:rPr>
                <w:rFonts w:ascii="Arial Narrow" w:hAnsi="Arial Narrow" w:cs="Arial"/>
                <w:sz w:val="18"/>
                <w:szCs w:val="18"/>
              </w:rPr>
              <w:br/>
              <w:t>Attestazione dei controlli eseguiti in sede di monitoraggio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1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Creazione di supporti operativi per la effettuazione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Istruzione operativa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76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Procedura formalizzata e informatizzata che garantisca la tracciabilità dell'operato</w:t>
            </w:r>
            <w:r w:rsidRPr="00895721">
              <w:rPr>
                <w:rFonts w:ascii="Arial Narrow" w:hAnsi="Arial Narrow" w:cs="Arial"/>
                <w:sz w:val="18"/>
                <w:szCs w:val="18"/>
              </w:rPr>
              <w:br/>
              <w:t>Monitoraggio periodico dei tempi di realizzazione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P3 / Giscom - Periodicità dei controlli</w:t>
            </w:r>
            <w:r w:rsidRPr="00895721">
              <w:rPr>
                <w:rFonts w:ascii="Arial Narrow" w:hAnsi="Arial Narrow" w:cs="Arial"/>
                <w:sz w:val="18"/>
                <w:szCs w:val="18"/>
              </w:rPr>
              <w:br/>
              <w:t>Pubblicazione delle risultanze dei tempi procedimentali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59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Edilizia Privata</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Gestione degli abusi edilizi ( pratiche sanatoria, segnalazioni di parte, ecc.))</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Discrezionalità nell’intervenire</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Disomogeneità dei comportamenti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lastRenderedPageBreak/>
              <w:br/>
            </w:r>
            <w:r w:rsidRPr="00895721">
              <w:rPr>
                <w:rFonts w:ascii="Arial Narrow" w:hAnsi="Arial Narrow" w:cs="Arial"/>
                <w:sz w:val="18"/>
                <w:szCs w:val="18"/>
              </w:rPr>
              <w:br/>
            </w:r>
            <w:r w:rsidRPr="00895721">
              <w:rPr>
                <w:rFonts w:ascii="Arial Narrow" w:hAnsi="Arial Narrow" w:cs="Arial"/>
                <w:sz w:val="18"/>
                <w:szCs w:val="18"/>
              </w:rPr>
              <w:br/>
              <w:t xml:space="preserve">Non rispetto delle scadenze temporali </w:t>
            </w:r>
          </w:p>
        </w:tc>
        <w:tc>
          <w:tcPr>
            <w:tcW w:w="2538"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lastRenderedPageBreak/>
              <w:t>Rischio "Discrezionalità nell’intervenire"</w:t>
            </w:r>
            <w:r w:rsidRPr="00895721">
              <w:rPr>
                <w:rFonts w:ascii="Arial Narrow" w:hAnsi="Arial Narrow" w:cs="Arial"/>
                <w:sz w:val="18"/>
                <w:szCs w:val="18"/>
              </w:rPr>
              <w:br/>
              <w:t xml:space="preserve">Procedura formalizzata a livello di Ente per la gestione delle segnalazioni esterne o di uffici interni ed effettuazione dei relativi controlli per i provvedimenti conseguenti   </w:t>
            </w:r>
            <w:r w:rsidRPr="00895721">
              <w:rPr>
                <w:rFonts w:ascii="Arial Narrow" w:hAnsi="Arial Narrow" w:cs="Arial"/>
                <w:sz w:val="18"/>
                <w:szCs w:val="18"/>
              </w:rPr>
              <w:br/>
              <w:t>Formalizzazione di criteri per la verifica di ufficio</w:t>
            </w:r>
            <w:r w:rsidRPr="00895721">
              <w:rPr>
                <w:rFonts w:ascii="Arial Narrow" w:hAnsi="Arial Narrow" w:cs="Arial"/>
                <w:sz w:val="18"/>
                <w:szCs w:val="18"/>
              </w:rPr>
              <w:br/>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Istruzione operativa      N° controlli d'ufficio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52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dei comportamenti"</w:t>
            </w:r>
            <w:r w:rsidRPr="00895721">
              <w:rPr>
                <w:rFonts w:ascii="Arial Narrow" w:hAnsi="Arial Narrow" w:cs="Arial"/>
                <w:sz w:val="18"/>
                <w:szCs w:val="18"/>
              </w:rPr>
              <w:br/>
              <w:t>Formalizzazione degli elementi minimi da rilevare nell’eventuale sopralluogo per la definizione del verbale</w:t>
            </w:r>
            <w:r w:rsidRPr="00895721">
              <w:rPr>
                <w:rFonts w:ascii="Arial Narrow" w:hAnsi="Arial Narrow" w:cs="Arial"/>
                <w:sz w:val="18"/>
                <w:szCs w:val="18"/>
              </w:rPr>
              <w:br/>
              <w:t>Istruttoria puntuale dello storico delle pratiche edilizie presentate relative all'edificio verificato</w:t>
            </w:r>
            <w:r w:rsidRPr="00895721">
              <w:rPr>
                <w:rFonts w:ascii="Arial Narrow" w:hAnsi="Arial Narrow" w:cs="Arial"/>
                <w:sz w:val="18"/>
                <w:szCs w:val="18"/>
              </w:rPr>
              <w:br/>
              <w:t>Rispetto indicazioni della check list</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w:t>
            </w:r>
            <w:r w:rsidRPr="00895721">
              <w:rPr>
                <w:rFonts w:ascii="Arial Narrow" w:hAnsi="Arial Narrow" w:cs="Arial"/>
                <w:sz w:val="18"/>
                <w:szCs w:val="18"/>
              </w:rPr>
              <w:br/>
              <w:t>- Istruzione operativa - Guida pratica – FAQ  Attestazione del responsabile sulla corretta attuazione dei criteri e delle indicazioni della check list</w:t>
            </w:r>
            <w:r w:rsidRPr="00895721">
              <w:rPr>
                <w:rFonts w:ascii="Arial Narrow" w:hAnsi="Arial Narrow" w:cs="Arial"/>
                <w:sz w:val="18"/>
                <w:szCs w:val="18"/>
              </w:rPr>
              <w:br/>
              <w:t>Attestazione in sede di monitoraggio del rispetto delle indicazioni della check list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50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 "</w:t>
            </w:r>
            <w:r w:rsidRPr="00895721">
              <w:rPr>
                <w:rFonts w:ascii="Arial Narrow" w:hAnsi="Arial Narrow" w:cs="Arial"/>
                <w:sz w:val="18"/>
                <w:szCs w:val="18"/>
              </w:rPr>
              <w:br/>
              <w:t>Monitoraggio periodico dei tempi di realizzazione dei controlli</w:t>
            </w:r>
            <w:r w:rsidRPr="00895721">
              <w:rPr>
                <w:rFonts w:ascii="Arial Narrow" w:hAnsi="Arial Narrow" w:cs="Arial"/>
                <w:sz w:val="18"/>
                <w:szCs w:val="18"/>
              </w:rPr>
              <w:br/>
              <w:t>Differenziazione delle modalità di intervento a seconda della gravità potenziale dell'abuso (urgenza)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Periodicità monitoraggio   Istruzione operativa</w:t>
            </w:r>
            <w:r w:rsidRPr="00895721">
              <w:rPr>
                <w:rFonts w:ascii="Arial Narrow" w:hAnsi="Arial Narrow" w:cs="Arial"/>
                <w:sz w:val="18"/>
                <w:szCs w:val="18"/>
              </w:rPr>
              <w:br/>
              <w:t>Pubblicazione delle risultanze dei tempi procedimentali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45"/>
        </w:trPr>
        <w:tc>
          <w:tcPr>
            <w:tcW w:w="937"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Edilizia Privata</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Idoneità alloggiativa</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Procedura formalizzata a livello di Ente</w:t>
            </w:r>
            <w:r w:rsidRPr="00895721">
              <w:rPr>
                <w:rFonts w:ascii="Arial Narrow" w:hAnsi="Arial Narrow" w:cs="Arial"/>
                <w:sz w:val="18"/>
                <w:szCs w:val="18"/>
              </w:rPr>
              <w:br/>
              <w:t>Formalizzazione degli elementi minimi da rilevare nell'istruttoria e  nell’eventuale sopralluogo</w:t>
            </w:r>
            <w:r w:rsidRPr="00895721">
              <w:rPr>
                <w:rFonts w:ascii="Arial Narrow" w:hAnsi="Arial Narrow" w:cs="Arial"/>
                <w:sz w:val="18"/>
                <w:szCs w:val="18"/>
              </w:rPr>
              <w:br/>
              <w:t>Controllo a campione del 25% dei procedimenti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in sede di monitoraggio sull’avvenuto controllo a campione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98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Pianificazione territoriale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Rilascio dei pareri urbanistici preventivi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Esplicitazione della documentazione necessaria per l’attivazione delle richieste di parere</w:t>
            </w:r>
            <w:r w:rsidRPr="00895721">
              <w:rPr>
                <w:rFonts w:ascii="Arial Narrow" w:hAnsi="Arial Narrow" w:cs="Arial"/>
                <w:sz w:val="18"/>
                <w:szCs w:val="18"/>
              </w:rPr>
              <w:br/>
              <w:t>Procedura formalizzata di gestione dell'iter con individuazione delle casistiche sottoponibili a parere</w:t>
            </w:r>
            <w:r w:rsidRPr="00895721">
              <w:rPr>
                <w:rFonts w:ascii="Arial Narrow" w:hAnsi="Arial Narrow" w:cs="Arial"/>
                <w:sz w:val="18"/>
                <w:szCs w:val="18"/>
              </w:rPr>
              <w:br/>
              <w:t>Monitoraggio dei tempi di evasione istanze</w:t>
            </w:r>
            <w:r w:rsidRPr="00895721">
              <w:rPr>
                <w:rFonts w:ascii="Arial Narrow" w:hAnsi="Arial Narrow" w:cs="Arial"/>
                <w:sz w:val="18"/>
                <w:szCs w:val="18"/>
              </w:rPr>
              <w:br/>
              <w:t>Individuazione di FAQ e risposte già predefinite alle questioni più significative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dell’avvenuta esplicitazione della documentazione, e ella formalizzazione della gestione dell’iter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92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Approvazione dei piani attuativi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Esplicitazione della documentazione necessaria per l’attivazione delle pratiche</w:t>
            </w:r>
            <w:r w:rsidRPr="00895721">
              <w:rPr>
                <w:rFonts w:ascii="Arial Narrow" w:hAnsi="Arial Narrow" w:cs="Arial"/>
                <w:sz w:val="18"/>
                <w:szCs w:val="18"/>
              </w:rPr>
              <w:br/>
              <w:t>Procedura formalizzata di gestione dell'iter, con evidenza della conformità urbanistica e della idoneità delle opere di urbanizzazione primarie e dello scomputo degli oneri concessori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dell’avvenuta esplicitazione della documentazione, e ella formalizzazione della gestione dell’iter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già disciplinata dalla norma provinciale</w:t>
            </w:r>
          </w:p>
        </w:tc>
      </w:tr>
      <w:tr w:rsidR="00895721" w:rsidRPr="00895721" w:rsidTr="00895721">
        <w:trPr>
          <w:trHeight w:val="25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 per l'istruttoria tecnica</w:t>
            </w:r>
            <w:r w:rsidRPr="00895721">
              <w:rPr>
                <w:rFonts w:ascii="Arial Narrow" w:hAnsi="Arial Narrow" w:cs="Arial"/>
                <w:sz w:val="18"/>
                <w:szCs w:val="18"/>
              </w:rPr>
              <w:br/>
              <w:t>Monitoraggio dei tempi di istruttoria delle istanze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in sede di monitoraggio dell’avvenuto rispetto dei tempi con evidenza di eventuali scostamenti e indicazione delle relative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928"/>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Ambiente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Controlli amministrativi o sopralluoghi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Discrezionalità nell’intervenire</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Disomogeneità dei comportamenti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 xml:space="preserve">Non rispetto delle scadenze temporali </w:t>
            </w:r>
          </w:p>
        </w:tc>
        <w:tc>
          <w:tcPr>
            <w:tcW w:w="2538"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t>Rischio "Discrezionalità nell’intervenire"</w:t>
            </w:r>
            <w:r w:rsidRPr="00895721">
              <w:rPr>
                <w:rFonts w:ascii="Arial Narrow" w:hAnsi="Arial Narrow" w:cs="Arial"/>
                <w:sz w:val="18"/>
                <w:szCs w:val="18"/>
              </w:rPr>
              <w:br/>
              <w:t xml:space="preserve">Procedura formalizzata a livello di Ente per la gestione delle segnalazioni esterne o di uffici interni ed effettuazione dei relativi controlli per i provvedimenti conseguenti   </w:t>
            </w:r>
            <w:r w:rsidRPr="00895721">
              <w:rPr>
                <w:rFonts w:ascii="Arial Narrow" w:hAnsi="Arial Narrow" w:cs="Arial"/>
                <w:sz w:val="18"/>
                <w:szCs w:val="18"/>
              </w:rPr>
              <w:br/>
              <w:t>Formalizzazione di criteri per la verifica di ufficio</w:t>
            </w:r>
            <w:r w:rsidRPr="00895721">
              <w:rPr>
                <w:rFonts w:ascii="Arial Narrow" w:hAnsi="Arial Narrow" w:cs="Arial"/>
                <w:sz w:val="18"/>
                <w:szCs w:val="18"/>
              </w:rPr>
              <w:br/>
            </w:r>
            <w:r w:rsidRPr="00895721">
              <w:rPr>
                <w:rFonts w:ascii="Arial Narrow" w:hAnsi="Arial Narrow" w:cs="Arial"/>
                <w:sz w:val="18"/>
                <w:szCs w:val="18"/>
              </w:rPr>
              <w:br/>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sul rispetto dei criteri per l’effettuazione delle verifiche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232"/>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dei comportamenti"</w:t>
            </w:r>
            <w:r w:rsidRPr="00895721">
              <w:rPr>
                <w:rFonts w:ascii="Arial Narrow" w:hAnsi="Arial Narrow" w:cs="Arial"/>
                <w:sz w:val="18"/>
                <w:szCs w:val="18"/>
              </w:rPr>
              <w:br/>
              <w:t>Formalizzazione degli elementi minimi da rilevare nell’eventuale sopralluogo per la definizione del verbale</w:t>
            </w:r>
            <w:r w:rsidRPr="00895721">
              <w:rPr>
                <w:rFonts w:ascii="Arial Narrow" w:hAnsi="Arial Narrow" w:cs="Arial"/>
                <w:sz w:val="18"/>
                <w:szCs w:val="18"/>
              </w:rPr>
              <w:br/>
              <w:t>Istruttoria puntuale dello storico delle pratiche edilizie presentate relative all'edificio verificato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sul rispetto degli elementi minimi da rilevare nei sopralluoghi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4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 "</w:t>
            </w:r>
            <w:r w:rsidRPr="00895721">
              <w:rPr>
                <w:rFonts w:ascii="Arial Narrow" w:hAnsi="Arial Narrow" w:cs="Arial"/>
                <w:sz w:val="18"/>
                <w:szCs w:val="18"/>
              </w:rPr>
              <w:br/>
              <w:t>Monitoraggio periodico dei tempi di realizzazione dei controlli</w:t>
            </w:r>
            <w:r w:rsidRPr="00895721">
              <w:rPr>
                <w:rFonts w:ascii="Arial Narrow" w:hAnsi="Arial Narrow" w:cs="Arial"/>
                <w:sz w:val="18"/>
                <w:szCs w:val="18"/>
              </w:rPr>
              <w:br/>
              <w:t>Differenziazione delle modalità di intervento a seconda della gravità potenziale dell'abuso (urgenza)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7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Rilascio di autorizzazioni ambientali (installazione antenne, fognature, deroghe inquinamento acustico, ecc.)</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Approvazione dei piani settoriali di regolamentazione (valutare se fattibile)</w:t>
            </w:r>
            <w:r w:rsidRPr="00895721">
              <w:rPr>
                <w:rFonts w:ascii="Arial Narrow" w:hAnsi="Arial Narrow" w:cs="Arial"/>
                <w:sz w:val="18"/>
                <w:szCs w:val="18"/>
              </w:rPr>
              <w:br/>
              <w:t>Esplicitazione della documentazione necessaria per l’attivazione delle pratiche e delle richieste di integrazione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sul rispetto della documentazione necessaria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38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Monitoraggio dei tempi di evasione istanze</w:t>
            </w:r>
            <w:r w:rsidRPr="00895721">
              <w:rPr>
                <w:rFonts w:ascii="Arial Narrow" w:hAnsi="Arial Narrow" w:cs="Arial"/>
                <w:sz w:val="18"/>
                <w:szCs w:val="18"/>
              </w:rPr>
              <w:br/>
              <w:t>Adozione di scadenziario rispetto alle autorizzazioni (se presente EMAS)</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752"/>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Pianificazione attuativa</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Piani attuativi d’iniziativa privata</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Mancata coerenza con il piano generale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incontri preliminari del responsabile del procedimento con gli uffici tecnici e i rappresentanti politici competenti, diretti a definire gli obiettivi generali in relazione alle proposte del soggetto attuatore;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Verbalizzazione degli incontri e relativa attestazione in sede di monitoraggio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linee guida interne, oggetto di pubblicazione, che disciplinino la procedura da seguire e introducano specifiche forme di trasparenza e rendicontazione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Creazione delle linee guide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costituzione di gruppi di lavoro interdisciplinare con personale dell’ente, ma appartenente a uffici diversi, i cui componenti siano chiamati a rendere una dichiarazione sull’assenza di conflitti di interesse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costituzione dei gruppi di lavoro e relativa rendicontazione dell’attività</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 predisposizione di un registro degli incontri con i soggetti attuatori, nel quale riportare le relative verbalizzazioni;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Creazione registro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 richiesta della presentazione di un programma economico finanziario relativo sia alle trasformazioni edilizie che alle opere di urbanizzazione da realizzare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acquisizione di informazioni dirette ad accertare il livello di affidabilità dei privati promotori (quali ad esempio il certificato della Camera di commercio, i bilanci depositati, le referenze bancarie, casellario giudiziale).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Piani attuativi di iniziativa pubblica</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piani in variante, qualora risultino in riduzione delle aree assoggettate a vincoli ablatori.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68"/>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Convenzione urbanistica ( idem Permessi di costruire convenzionati): calcolo degli oneri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Non corretta, non adeguata o non aggiornata commisurazione degli “oneri” dovuti, in difetto o in eccesso, rispetto all’intervento edilizio da realizzare, al fine di favorire eventuali soggetti interessati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responsabile dell’ufficio comunale competente, da allegare alla convenzione, dell’avvenuto aggiornamento delle tabelle parametriche degli oneri e del fatto che la determinazione degli stessi è stata attuata sulla base dei valori in vigore alla data di stipula della convenzione;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aggiornamento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pubblicazione delle tabelle a cura della regione e del comune, ove non sia già prevista per legge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assegnazione della mansione del calcolo degli oneri dovuti a personale diverso da quello che cura l’istruttoria tecnica del piano attuativo e della convenzione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3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Convenzione urbanistica:Individuazione delle opere di urbanizzazione</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L’individuazione di un’opera come prioritaria, laddove essa, invece, sia a beneficio esclusivo o prevalente dell’operatore privato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identificazione delle opere di urbanizzazione mediante il coinvolgimento del responsabile della programmazione delle opere pubbliche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Verbalizzazione degli incontri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L’indicazione di costi di realizzazione superiori a quelli che l’amministrazione sosterebbe con l’esecuzione diretta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di una specifica motivazione in merito alla necessità di far realizzare direttamente al privato costruttore le opere di urbanizzazione secondaria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Motivazione nella convenzione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calcolo del valore delle opere da scomputare utilizzando i prezziari regionali o dell’ente, anche tenendo conto dei prezzi che l’amministrazione ottiene solitamente in esito a procedure di appalto per la realizzazione di opere analoghe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utilizzo prezziari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49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richiesta (per tutte le opere per cui è ammesso lo scomputo) del progetto di fattibilità tecnica ed economica delle opere di urbanizzazione da porre a base di gara per l’affidamento delle stesse, e prevedere che la relativa istruttoria sia svolta da personale in possesso di specifiche competenze in relazione alla natura delle opere da eseguire, appartenente ad altri servizi dell’ente ovvero utilizzando personale di altri enti locali mediante accordo o convenzione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di garanzie aventi caratteristiche analoghe a quelle richieste in caso di appalto di opere pubbliche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Richiesta garanzie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19"/>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Pianificazione attuativa</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Cessione delle aree necessarie per opere di urbanizzazione primaria e secondaria</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Errata determinazione della quantità di aree da cedere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individuazione di un responsabile dell’acquisizione delle aree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individuato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304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Individuazione di aree da cedere di minor pregio o di poco interesse per la collettività, con sacrificio dell'interesse pubblico a disporre di aree di pregio per servizi, quali verde o parcheggi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da parte dell’amministrazione comunale sui tempi e gli adempimenti connessi alla acquisizione gratuita delle aree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2"/>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Monetizzazione delle aree a standard</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Minori entrate per le finanze comunali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adozione di criteri generali per la individuazione dei casi specifici in cui procedere alle monetizzazioni e per la definizione dei valori da attribuire alle aree, da aggiornare annualmente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sul rispetto dei criteri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9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verifica attraverso un organismo collegiale, composto da soggetti che non hanno curato l’istruttoria, compresi tecnici provenienti da altre amministrazioni, quale ad esempio l’Agenzia delle entrate;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Creazione organismo collegiale e verbalizzazione delle sedute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0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del pagamento delle monetizzazioni contestuale alla stipula della convenzione, al fine di evitare il mancato o ritardato introito, e, in caso di rateizzazione, richiesta in convenzione di idonee garanzie.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determina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3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Approvazione del piano attuativo</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e conoscibilità dei contenuti del piano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br/>
              <w:t>Esplicitazione della documentazione necessaria per l’attivazione delle pratiche</w:t>
            </w:r>
            <w:r w:rsidRPr="00895721">
              <w:rPr>
                <w:rFonts w:ascii="Arial Narrow" w:hAnsi="Arial Narrow" w:cs="Arial"/>
                <w:sz w:val="18"/>
                <w:szCs w:val="18"/>
              </w:rPr>
              <w:br/>
              <w:t>Procedura formalizzata di gestione dell'iter, con evidenza della conformità urbanistica e della idoneità delle opere di urbanizzazione primarie e dello scomputo degli oneri concessori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procedura formalizzata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Mancata o non adeguata valutazione delle osservazioni pervenute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Valutazione di tutte le osservazioni pervenute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Relazione sull’attività di valutazione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59"/>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Esecuzione delle opere di urbanizzazione</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L'amministrazione non esercita i propri compiti di vigilanza al fine di evitare la realizzazione di opere qualitativamente di minor pregio rispetto </w:t>
            </w:r>
            <w:r w:rsidRPr="00895721">
              <w:rPr>
                <w:rFonts w:ascii="Arial Narrow" w:hAnsi="Arial Narrow" w:cs="Arial"/>
                <w:sz w:val="18"/>
                <w:szCs w:val="18"/>
              </w:rPr>
              <w:lastRenderedPageBreak/>
              <w:t>a quanto dedotto in obbligazione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lastRenderedPageBreak/>
              <w:t>costituzione di un’apposita struttura interna, composta da dipendenti di uffici tecnici con competenze adeguate alla natura delle opere, e che non siano in rapporto di contiguità con il privato, che verifichi puntualmente la correttezza dell’esecuzione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costituzione della struttura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32"/>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comunicazione, a carico del soggetto attuatore, delle imprese utilizzate, anche nel caso di opere per la cui realizzazione la scelta del contraente non è vincolata da procedimenti previsti dalla legge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richiesta al soggetto attuatore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568"/>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verifica, secondo tempi programmati, del cronoprogramma e dello stato di avanzamento dei lavori, per assicurare l’esecuzione dei lavori nei tempi e modi stabiliti nella convenzione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 nomina del collaudatore sia effettuata dal comune, con oneri a carico del privato attuatore, dovendo essere assicurata la terzietà del soggetto incaricato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nomina comunale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in convenzione, in caso di ritardata o mancata esecuzione delle opere, di apposite misure sanzionatorie quali il divieto del rilascio del titolo abilitativo per le parti d’intervento non ancora attuate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convenzione con misure sanzionatorie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2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Mancato rispetto delle norme sulla scelta del soggetto che deve realizzare le opere.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comunicazione, a carico del soggetto attuatore, delle imprese utilizzate, anche nel caso di opere per la cui realizzazione la scelta del contraente non è vincolata da procedimenti previsti dalla legge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comunicazionne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4512"/>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Rilascio dei titoli abitativi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Assegnazione delle pratiche per l’istruttoria</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potenziale condizionamento esterno nella gestione dell’istruttoria che può essere favorito dall’esercizio di attività professionali esterne svolte da dipendenti degli uffici, in collaborazione con professionisti del territorio nel quale svolgono tale attività</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1) divieto di svolgere attività esterne, se non al di fuori dell’ambito territoriale di competenza</w:t>
            </w:r>
            <w:r w:rsidRPr="00895721">
              <w:rPr>
                <w:rFonts w:ascii="Arial Narrow" w:hAnsi="Arial Narrow" w:cs="Arial"/>
                <w:sz w:val="18"/>
                <w:szCs w:val="18"/>
              </w:rPr>
              <w:br/>
              <w:t>2) l’obbligo di dichiarare ogni situazione di potenziale conflitto di interessi</w:t>
            </w:r>
            <w:r w:rsidRPr="00895721">
              <w:rPr>
                <w:rFonts w:ascii="Arial Narrow" w:hAnsi="Arial Narrow" w:cs="Arial"/>
                <w:sz w:val="18"/>
                <w:szCs w:val="18"/>
              </w:rPr>
              <w:br/>
              <w:t>3) specifiche attività di controllo da parte dei competenti nuclei ispettivi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1 e 2) regolamento del personale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30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assegnazione a tecnici in rapporto di contiguità con professionisti o aventi titolo al fine di orientare le decisioni edilizie.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2) l’obbligo di dichiarare ogni situazione di potenziale conflitto di interessi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codice di comportamento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Gestione del territorio</w:t>
            </w: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Richiesta di integrazioni documentali</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pressioni, al fine di ottenere vantaggi indebiti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fissazione di una quota ragionevole di controlli da effettuare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piano dei controlli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definizione di criteri oggettivi per la individuazione del campione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piano dei controlli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352"/>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mancata conclusione dell’attività istruttoria entro i tempi massimi stabiliti dalla legge (e la conseguente non assunzione di provvedimenti sfavorevoli agli interessati)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delle cause del ritardo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Calcolo del contributo di costruzione</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 l’errato calcolo del contributo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 chiarezza dei meccanismi di calcolo del contributo, della rateizzazione e della sanzione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il riconoscimento di una rateizzazione al di fuori dei casi previsti dal regolamento comunale o comunque con modalità più favorevoli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 l’adozione di procedure telematiche che favoriscano una gestione automatizzata del processo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Adozione delle procedure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 non applicazione delle sanzioni per il ritardo.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Segregazione delle funzioni: assegnando tali mansioni a personale diverso da coloro che </w:t>
            </w:r>
            <w:r w:rsidRPr="00895721">
              <w:rPr>
                <w:rFonts w:ascii="Arial Narrow" w:hAnsi="Arial Narrow" w:cs="Arial"/>
                <w:sz w:val="18"/>
                <w:szCs w:val="18"/>
              </w:rPr>
              <w:lastRenderedPageBreak/>
              <w:t>hanno curato l’istruttoria tecnica della pratica edilizia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lastRenderedPageBreak/>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segregazione delle funzioni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687"/>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dei titoli abitativi edilizi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dei titoli rilasciati</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Selezione del campione delle pratiche soggette a controllo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 regolamentazione dei casi e delle modalità di individuazione degli interventi da assoggettare a verifica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Omissioni o ritardi nello svolgimento di tale attività</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controlli su tutte le pratiche che abbiano interessato un determinato ambito urbanistico di particolare rilevanza, una determinata area soggetta a vincoli, ecc., per verificare se tutti gli interventi edilizi abbiano dato applicazione alla relativa normativa in modo omogeneo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controllo puntuale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693"/>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Vigilanza su abusi edilizi</w:t>
            </w:r>
          </w:p>
        </w:tc>
        <w:tc>
          <w:tcPr>
            <w:tcW w:w="1701" w:type="dxa"/>
            <w:vMerge w:val="restart"/>
            <w:noWrap/>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Omissione o nel parziale esercizio dell’attività di</w:t>
            </w:r>
            <w:r w:rsidRPr="00895721">
              <w:rPr>
                <w:rFonts w:ascii="Arial Narrow" w:hAnsi="Arial Narrow" w:cs="Arial"/>
                <w:sz w:val="18"/>
                <w:szCs w:val="18"/>
              </w:rPr>
              <w:br/>
              <w:t>verifica dell’attività edilizia in corso nel territorio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accurati sistemi di valutazione della performance individuale e organizzativa delle strutture preposte alla vigilanza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9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L’applicazione della sanzione pecuniaria, in luogo dell’ordine di ripristino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forme collegiali per l’esercizio di attività di accertamento complesse, con il ricorso a tecnici esterni agli uffici che esercitano la vigilanza, in particolare per la valutazione della impossibilità della restituzione in pristino;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la definizione analitica dei criteri e modalità di calcolo delle sanzioni amministrative pecuniarie (comprensivi dei metodi per la determinazione dell’aumento di valore venale dell’immobile conseguente alla realizzazione delle opere abusive e del danno arrecato o del profitto conseguito, ai fini dell’applicazione della sanzione amministrativa pecuniaria prevista per gli interventi abusivi realizzati su aree sottoposte a vincolo paesaggistico) e delle somme da corrispondere a titolo di oblazione, in caso di sanatoria;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verifiche, anche a campione, del calcolo delle sanzioni, con riferimento a tutte le fasce di importo.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piano dei controlli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 Servizio Tecnico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05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Vigilanza e controllo delle attività edilizie (minori) non soggette a titolo abilitativo edilizio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l’istituzione di un registro degli abusi accertati, che consenta la tracciabilità di tutte le fasi del procedimento, compreso l’eventuale processo di sanatoria;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registro degli abusi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32"/>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 pubblicazione sul sito del comune di tutti gli interventi oggetto di ordine di demolizione o ripristino e dello stato di attuazione degli stessi, nel rispetto della normativa sulla tutela della riservatezza;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78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br/>
              <w:t>il monitoraggio dei tempi del procedimento sanzionatorio, comprensivo delle attività esecutive e dei provvedimenti finali.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244"/>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Gestione del territorio</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Commercio/attività produttive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delle SCIA</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t>Rischio "Assenza di criteri di campionamento"</w:t>
            </w:r>
            <w:r w:rsidRPr="00895721">
              <w:rPr>
                <w:rFonts w:ascii="Arial Narrow" w:hAnsi="Arial Narrow" w:cs="Arial"/>
                <w:sz w:val="18"/>
                <w:szCs w:val="18"/>
              </w:rPr>
              <w:br/>
              <w:t>Formalizzazione dei criteri statistici per la creazione del campione di pratiche da controllare, con priorità per alcune tipologie di pratiche</w:t>
            </w:r>
            <w:r w:rsidRPr="00895721">
              <w:rPr>
                <w:rFonts w:ascii="Arial Narrow" w:hAnsi="Arial Narrow" w:cs="Arial"/>
                <w:sz w:val="18"/>
                <w:szCs w:val="18"/>
              </w:rPr>
              <w:br/>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SCIA controllate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controllo puntuale delle pratiche</w:t>
            </w:r>
          </w:p>
        </w:tc>
      </w:tr>
      <w:tr w:rsidR="00895721" w:rsidRPr="00895721" w:rsidTr="00895721">
        <w:trPr>
          <w:trHeight w:val="148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Creazione di supporti operativi per la effettuazione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 schede istruttorie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796"/>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Procedura formalizzata e informatizzata che garantisca la tracciabilità dell'operato</w:t>
            </w:r>
            <w:r w:rsidRPr="00895721">
              <w:rPr>
                <w:rFonts w:ascii="Arial Narrow" w:hAnsi="Arial Narrow" w:cs="Arial"/>
                <w:sz w:val="18"/>
                <w:szCs w:val="18"/>
              </w:rPr>
              <w:br/>
              <w:t>Monitoraggio periodico dei tempi di realizzazione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Descrizione flusso operativo  . Frequenza monitoraggio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5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Lavori Pubblici</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Lavori Pubblici/manutenzione/mobilità</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Gare d'appalto per lavori ed incarichi progettazione e D.L.</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6</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br/>
              <w:t>Scarsa trasparenza dell’operato/alterazione della concorrenza</w:t>
            </w:r>
            <w:r w:rsidRPr="00895721">
              <w:rPr>
                <w:rFonts w:ascii="Arial Narrow" w:hAnsi="Arial Narrow" w:cs="Arial"/>
                <w:sz w:val="18"/>
                <w:szCs w:val="18"/>
              </w:rPr>
              <w:br/>
              <w:t>Disomogeneità di valutazione nella individuazione del contraente</w:t>
            </w:r>
            <w:r w:rsidRPr="00895721">
              <w:rPr>
                <w:rFonts w:ascii="Arial Narrow" w:hAnsi="Arial Narrow" w:cs="Arial"/>
                <w:sz w:val="18"/>
                <w:szCs w:val="18"/>
              </w:rPr>
              <w:br/>
              <w:t>Scarso controllo del possesso dei requisiti dichiarati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trasparenza/alterazione della concorrenza"</w:t>
            </w:r>
            <w:r w:rsidRPr="00895721">
              <w:rPr>
                <w:rFonts w:ascii="Arial Narrow" w:hAnsi="Arial Narrow" w:cs="Arial"/>
                <w:sz w:val="18"/>
                <w:szCs w:val="18"/>
              </w:rPr>
              <w:br/>
              <w:t>Utilizzo di bandi tipo per requisiti e modalità di partecipazione</w:t>
            </w:r>
            <w:r w:rsidRPr="00895721">
              <w:rPr>
                <w:rFonts w:ascii="Arial Narrow" w:hAnsi="Arial Narrow" w:cs="Arial"/>
                <w:sz w:val="18"/>
                <w:szCs w:val="18"/>
              </w:rPr>
              <w:br/>
              <w:t>Monitoraggio per tipologia delle modalità utilizzate per l'effettuazione delle gare</w:t>
            </w:r>
            <w:r w:rsidRPr="00895721">
              <w:rPr>
                <w:rFonts w:ascii="Arial Narrow" w:hAnsi="Arial Narrow" w:cs="Arial"/>
                <w:sz w:val="18"/>
                <w:szCs w:val="18"/>
              </w:rPr>
              <w:br/>
              <w:t>Stesura di un atto di indirizzo che regolamenti la rotazione dei concorrenti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utilizzo bandi e avvenuta adozione di atto di indirizzo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individuazione del contraente"</w:t>
            </w:r>
            <w:r w:rsidRPr="00895721">
              <w:rPr>
                <w:rFonts w:ascii="Arial Narrow" w:hAnsi="Arial Narrow" w:cs="Arial"/>
                <w:sz w:val="18"/>
                <w:szCs w:val="18"/>
              </w:rPr>
              <w:br/>
              <w:t>Definizione dei tempi di nomina e di criteri per la composizione delle commissioni e verifica che chi vi partecipa non abbia interessi o legami parentali con le imprese concorrenti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Rispetto dei tempi di nomina e dei criteri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possesso dei requisiti dichiarati"</w:t>
            </w:r>
            <w:r w:rsidRPr="00895721">
              <w:rPr>
                <w:rFonts w:ascii="Arial Narrow" w:hAnsi="Arial Narrow" w:cs="Arial"/>
                <w:sz w:val="18"/>
                <w:szCs w:val="18"/>
              </w:rPr>
              <w:br/>
              <w:t>Definizione preventiva dei criteri di selezione dei partecipanti per i controlli sui requisiti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Rispetto dei criteri di selezione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Controllo puntuale</w:t>
            </w:r>
          </w:p>
        </w:tc>
      </w:tr>
      <w:tr w:rsidR="00895721" w:rsidRPr="00895721" w:rsidTr="00895721">
        <w:trPr>
          <w:trHeight w:val="318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Lavori Pubblici</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Lavori Pubblici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esecuzione contratto (DL e coord sicurezza)</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Assenza di un piano dei controlli</w:t>
            </w:r>
            <w:r w:rsidRPr="00895721">
              <w:rPr>
                <w:rFonts w:ascii="Arial Narrow" w:hAnsi="Arial Narrow" w:cs="Arial"/>
                <w:sz w:val="18"/>
                <w:szCs w:val="18"/>
              </w:rPr>
              <w:br/>
              <w:t>Disomogeneità delle valutazioni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"Assenza di un piano dei controlli"</w:t>
            </w:r>
            <w:r w:rsidRPr="00895721">
              <w:rPr>
                <w:rFonts w:ascii="Arial Narrow" w:hAnsi="Arial Narrow" w:cs="Arial"/>
                <w:sz w:val="18"/>
                <w:szCs w:val="18"/>
              </w:rPr>
              <w:br/>
              <w:t>Formalizzazione di un programma di controlli/direzioni lavori da effettuare in relazione alle fasi di esecuzione dell'opera, con evidenza di un report per ogni controllo da parte del DL e coord sicurezza</w:t>
            </w:r>
            <w:r w:rsidRPr="00895721">
              <w:rPr>
                <w:rFonts w:ascii="Arial Narrow" w:hAnsi="Arial Narrow" w:cs="Arial"/>
                <w:sz w:val="18"/>
                <w:szCs w:val="18"/>
              </w:rPr>
              <w:br/>
              <w:t>Inserimento nei capitolati tecnici della Direzione Lavori o nelle richieste di offerte della qualità e quantità della prestazione attesa</w:t>
            </w:r>
            <w:r w:rsidRPr="00895721">
              <w:rPr>
                <w:rFonts w:ascii="Arial Narrow" w:hAnsi="Arial Narrow" w:cs="Arial"/>
                <w:sz w:val="18"/>
                <w:szCs w:val="18"/>
              </w:rPr>
              <w:br/>
              <w:t>Visita mensile da parte dell'UT + DL al cantiere per verificare di persona le situazioni rilevate con stesura di report</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realizzazione del piano dei controlli e attuazione dello stesso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35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Procedura formalizzata per la gestione dell'attività (varianti, richieste subappalti, ecc.)</w:t>
            </w:r>
            <w:r w:rsidRPr="00895721">
              <w:rPr>
                <w:rFonts w:ascii="Arial Narrow" w:hAnsi="Arial Narrow" w:cs="Arial"/>
                <w:sz w:val="18"/>
                <w:szCs w:val="18"/>
              </w:rPr>
              <w:br/>
              <w:t>Periodico reporting dei controlli realizzati e di tutte le varianti richieste, per ogni opera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Creazione della procedura formalizzata e attuazione della stessa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3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Lavori Pubblici</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Manutenzione immobili, strade e giardini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Controllo dei servizi appaltati (manutenzione caldaie, manutenzione ascensori, illuminazione, verde, ecc.)</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Assenza di criteri di campionamento</w:t>
            </w:r>
            <w:r w:rsidRPr="00895721">
              <w:rPr>
                <w:rFonts w:ascii="Arial Narrow" w:hAnsi="Arial Narrow" w:cs="Arial"/>
                <w:sz w:val="18"/>
                <w:szCs w:val="18"/>
              </w:rPr>
              <w:br/>
              <w:t>Disomogeneità delle valutazioni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"Assenza di criteri di campionamento"</w:t>
            </w:r>
            <w:r w:rsidRPr="00895721">
              <w:rPr>
                <w:rFonts w:ascii="Arial Narrow" w:hAnsi="Arial Narrow" w:cs="Arial"/>
                <w:sz w:val="18"/>
                <w:szCs w:val="18"/>
              </w:rPr>
              <w:br/>
              <w:t>Inserimento nei capitolati tecnici o nelle richieste di offerte della qualità e quantità della prestazione attesa</w:t>
            </w:r>
            <w:r w:rsidRPr="00895721">
              <w:rPr>
                <w:rFonts w:ascii="Arial Narrow" w:hAnsi="Arial Narrow" w:cs="Arial"/>
                <w:sz w:val="18"/>
                <w:szCs w:val="18"/>
              </w:rPr>
              <w:br/>
              <w:t>Inserire delle modalità di segnalazioni di eventuali disservizi (ticketing)</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Avvenuto inserimento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controllo puntuale</w:t>
            </w:r>
          </w:p>
        </w:tc>
      </w:tr>
      <w:tr w:rsidR="00895721" w:rsidRPr="00895721" w:rsidTr="00895721">
        <w:trPr>
          <w:trHeight w:val="147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Creazione di supporti operativi per la effettuazione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Creazione dei supporti operativi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29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Trasversale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Tutti i Servizi che effettuano acquisti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Acquisto di beni e servizi e controllo forniture</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dell’operato/alterazione della concorrenza</w:t>
            </w:r>
            <w:r w:rsidRPr="00895721">
              <w:rPr>
                <w:rFonts w:ascii="Arial Narrow" w:hAnsi="Arial Narrow" w:cs="Arial"/>
                <w:sz w:val="18"/>
                <w:szCs w:val="18"/>
              </w:rPr>
              <w:br/>
              <w:t>Disomogeneità di valutazione nella individuazione del contraente</w:t>
            </w:r>
            <w:r w:rsidRPr="00895721">
              <w:rPr>
                <w:rFonts w:ascii="Arial Narrow" w:hAnsi="Arial Narrow" w:cs="Arial"/>
                <w:sz w:val="18"/>
                <w:szCs w:val="18"/>
              </w:rPr>
              <w:br/>
              <w:t>Scarso controllo del possesso dei requisiti dichiarati</w:t>
            </w:r>
            <w:r w:rsidRPr="00895721">
              <w:rPr>
                <w:rFonts w:ascii="Arial Narrow" w:hAnsi="Arial Narrow" w:cs="Arial"/>
                <w:sz w:val="18"/>
                <w:szCs w:val="18"/>
              </w:rPr>
              <w:br/>
              <w:t>Scarso controllo del servizio erogato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trasparenza/alterazione della concorrenza"</w:t>
            </w:r>
            <w:r w:rsidRPr="00895721">
              <w:rPr>
                <w:rFonts w:ascii="Arial Narrow" w:hAnsi="Arial Narrow" w:cs="Arial"/>
                <w:sz w:val="18"/>
                <w:szCs w:val="18"/>
              </w:rPr>
              <w:br/>
              <w:t>Formalizzazione dei criteri di rotazione fornitori</w:t>
            </w:r>
            <w:r w:rsidRPr="00895721">
              <w:rPr>
                <w:rFonts w:ascii="Arial Narrow" w:hAnsi="Arial Narrow" w:cs="Arial"/>
                <w:sz w:val="18"/>
                <w:szCs w:val="18"/>
              </w:rPr>
              <w:br/>
              <w:t>Istituzione di un "albo di fornitori" interno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dei criteri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Ricorso a MePA e in corso di implementazione sistema MePAT </w:t>
            </w:r>
          </w:p>
        </w:tc>
      </w:tr>
      <w:tr w:rsidR="00895721" w:rsidRPr="00895721" w:rsidTr="00895721">
        <w:trPr>
          <w:trHeight w:val="19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individuazione del contraente"</w:t>
            </w:r>
            <w:r w:rsidRPr="00895721">
              <w:rPr>
                <w:rFonts w:ascii="Arial Narrow" w:hAnsi="Arial Narrow" w:cs="Arial"/>
                <w:sz w:val="18"/>
                <w:szCs w:val="18"/>
              </w:rPr>
              <w:br/>
              <w:t>Definizione di criteri per la composizione delle commissioni e verifica che chi vi partecipa non abbia interessi o legami parentali con le imprese concorrenti</w:t>
            </w:r>
            <w:r w:rsidRPr="00895721">
              <w:rPr>
                <w:rFonts w:ascii="Arial Narrow" w:hAnsi="Arial Narrow" w:cs="Arial"/>
                <w:sz w:val="18"/>
                <w:szCs w:val="18"/>
              </w:rPr>
              <w:br/>
              <w:t>Creazione di griglie per la valutazione delle offerte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dei criteri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5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possesso dei requisiti dichiarati"</w:t>
            </w:r>
            <w:r w:rsidRPr="00895721">
              <w:rPr>
                <w:rFonts w:ascii="Arial Narrow" w:hAnsi="Arial Narrow" w:cs="Arial"/>
                <w:sz w:val="18"/>
                <w:szCs w:val="18"/>
              </w:rPr>
              <w:br/>
              <w:t>Creazione di supporti operativi per la effettuazione dei controlli dei requisiti dei partecipanti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Creazione dei supporti operativi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Attraverso l'albo do fornitori interno ha la funzione di garantire anche il controllo dei requisiti dichiarati</w:t>
            </w:r>
          </w:p>
        </w:tc>
      </w:tr>
      <w:tr w:rsidR="00895721" w:rsidRPr="00895721" w:rsidTr="00895721">
        <w:trPr>
          <w:trHeight w:val="24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servizio erogato"</w:t>
            </w:r>
            <w:r w:rsidRPr="00895721">
              <w:rPr>
                <w:rFonts w:ascii="Arial Narrow" w:hAnsi="Arial Narrow" w:cs="Arial"/>
                <w:sz w:val="18"/>
                <w:szCs w:val="18"/>
              </w:rPr>
              <w:br/>
              <w:t xml:space="preserve">Stesura di capitolati di gara che prevedono la qualità e la quantità delle prestazioni attese </w:t>
            </w:r>
            <w:r w:rsidRPr="00895721">
              <w:rPr>
                <w:rFonts w:ascii="Arial Narrow" w:hAnsi="Arial Narrow" w:cs="Arial"/>
                <w:sz w:val="18"/>
                <w:szCs w:val="18"/>
              </w:rPr>
              <w:br/>
              <w:t>Creazione di supporti operativi per la effettuazione dei controlli  del servizio erogato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previsione nei capitolati della qualità e della quantità delle prestazioni attese</w:t>
            </w:r>
            <w:r w:rsidRPr="00895721">
              <w:rPr>
                <w:rFonts w:ascii="Arial Narrow" w:hAnsi="Arial Narrow" w:cs="Arial"/>
                <w:sz w:val="18"/>
                <w:szCs w:val="18"/>
              </w:rPr>
              <w:br/>
              <w:t xml:space="preserve">Creazione dei supporti operativi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35"/>
        </w:trPr>
        <w:tc>
          <w:tcPr>
            <w:tcW w:w="937"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Trasversale</w:t>
            </w:r>
          </w:p>
        </w:tc>
        <w:tc>
          <w:tcPr>
            <w:tcW w:w="1185"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 Generale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Gestione di segnalazioni e reclami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Discrezionalità nella gestione</w:t>
            </w:r>
          </w:p>
        </w:tc>
        <w:tc>
          <w:tcPr>
            <w:tcW w:w="2538"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t>Rischio "Discrezionalità nella gestione"</w:t>
            </w:r>
            <w:r w:rsidRPr="00895721">
              <w:rPr>
                <w:rFonts w:ascii="Arial Narrow" w:hAnsi="Arial Narrow" w:cs="Arial"/>
                <w:sz w:val="18"/>
                <w:szCs w:val="18"/>
              </w:rPr>
              <w:br/>
              <w:t>Procedura formalizzata a livello di Ente per la gestione delle segnalazioni esterne scritte e dei reclami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Realizzazione procedura formalizzata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740"/>
        </w:trPr>
        <w:tc>
          <w:tcPr>
            <w:tcW w:w="937"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Segreteria Generale</w:t>
            </w:r>
          </w:p>
        </w:tc>
        <w:tc>
          <w:tcPr>
            <w:tcW w:w="1185"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Servizi demografici</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Gestione archivio servizi demografici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Fuga di notizie di informazioni riservate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"Fuga di notizie di informazioni riservate"</w:t>
            </w:r>
            <w:r w:rsidRPr="00895721">
              <w:rPr>
                <w:rFonts w:ascii="Arial Narrow" w:hAnsi="Arial Narrow" w:cs="Arial"/>
                <w:sz w:val="18"/>
                <w:szCs w:val="18"/>
              </w:rPr>
              <w:br/>
              <w:t>Formalizzazione di una linea guida che identifica le modalità di richiesta di accesso a dati anagrafici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formalizzazione delle linee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Tracciabilità e sicurezza accessi verificate</w:t>
            </w:r>
            <w:r w:rsidRPr="00895721">
              <w:rPr>
                <w:rFonts w:ascii="Arial Narrow" w:hAnsi="Arial Narrow" w:cs="Arial"/>
                <w:sz w:val="18"/>
                <w:szCs w:val="18"/>
              </w:rPr>
              <w:br/>
              <w:t>Piano della sicurezza dei dati informatici</w:t>
            </w:r>
          </w:p>
        </w:tc>
      </w:tr>
      <w:tr w:rsidR="00895721" w:rsidRPr="00895721" w:rsidTr="00895721">
        <w:trPr>
          <w:trHeight w:val="111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Segreteria Generale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Servizi demografici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Gestione degli accertamenti relativi alla residenza</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Assenza di criteri di campionamento</w:t>
            </w:r>
            <w:r w:rsidRPr="00895721">
              <w:rPr>
                <w:rFonts w:ascii="Arial Narrow" w:hAnsi="Arial Narrow" w:cs="Arial"/>
                <w:sz w:val="18"/>
                <w:szCs w:val="18"/>
              </w:rPr>
              <w:br/>
              <w:t>Mancato presidio delle ricadute fiscali</w:t>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"Assenza di criteri di campionamento"</w:t>
            </w:r>
            <w:r w:rsidRPr="00895721">
              <w:rPr>
                <w:rFonts w:ascii="Arial Narrow" w:hAnsi="Arial Narrow" w:cs="Arial"/>
                <w:sz w:val="18"/>
                <w:szCs w:val="18"/>
              </w:rPr>
              <w:br/>
              <w:t>Formalizzazione dei controlli di tutte le situazioni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Realizzazione chek list degli elementi da verificare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5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"Mancato presidio delle ricadute fiscali"</w:t>
            </w:r>
            <w:r w:rsidRPr="00895721">
              <w:rPr>
                <w:rFonts w:ascii="Arial Narrow" w:hAnsi="Arial Narrow" w:cs="Arial"/>
                <w:sz w:val="18"/>
                <w:szCs w:val="18"/>
              </w:rPr>
              <w:br/>
              <w:t>Formalizzazione delle modalità di comunicazione delle migrazioni a Tributi e Ufficio Tecnico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Avvenuto rispetto della formalizzazione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71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Essere notiziati rispetto ai tempi di evasione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Rilevazione dei tempi procedimentali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235"/>
        </w:trPr>
        <w:tc>
          <w:tcPr>
            <w:tcW w:w="937"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Segreteria Generale</w:t>
            </w:r>
          </w:p>
        </w:tc>
        <w:tc>
          <w:tcPr>
            <w:tcW w:w="1185"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Servizi cimiteriali</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Rilascio di autorizzazioni e concessioni cimiteriali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Formalizzazione del regolamento cimiteriale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Norme regolamentari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44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Risorse economiche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Servizi finanziari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Pagamento fatture fornitori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t xml:space="preserve">Non rispetto delle scadenze temporali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Esplicitazione della documentazione necessaria per effettuare la liquidazione</w:t>
            </w:r>
            <w:r w:rsidRPr="00895721">
              <w:rPr>
                <w:rFonts w:ascii="Arial Narrow" w:hAnsi="Arial Narrow" w:cs="Arial"/>
                <w:sz w:val="18"/>
                <w:szCs w:val="18"/>
              </w:rPr>
              <w:br/>
              <w:t>Definizione del campione dei controlli della regolarità contributiva per importi inferiori ad € 20.000,00 (o effettuazione puntuale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esplicitazione della documentazione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6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Monitoraggio dell'ordine cronologico dei tempi di liquidazione, per tipologia di fattura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6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Risorse economiche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Patrimonio</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Acquisti e alienazioni patrimoniali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t>Scarsa trasparenza/poca pubblicità dell'opportunità</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 xml:space="preserve">Formalizzazione della procedura di alienazione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formalizzazione della procedura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6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trasparenza/poca pubblicità dell'opportunità" (solo per alienazioni)</w:t>
            </w:r>
            <w:r w:rsidRPr="00895721">
              <w:rPr>
                <w:rFonts w:ascii="Arial Narrow" w:hAnsi="Arial Narrow" w:cs="Arial"/>
                <w:sz w:val="18"/>
                <w:szCs w:val="18"/>
              </w:rPr>
              <w:br/>
              <w:t>Formalizzazione delle attività di pubblicizzazione da effettuare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delle attività e relativa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9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Risorse economiche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Patrimonio</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Alienazione di beni mobili e di diritti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w:t>
            </w:r>
            <w:r w:rsidRPr="00895721">
              <w:rPr>
                <w:rFonts w:ascii="Arial Narrow" w:hAnsi="Arial Narrow" w:cs="Arial"/>
                <w:sz w:val="18"/>
                <w:szCs w:val="18"/>
              </w:rPr>
              <w:br/>
              <w:t>Scarsa trasparenza/poca pubblicità dell'opportunità</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Formalizzazione della procedura di alienazione  (trasparenza)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formalizzazione della procedura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9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trasparenza/poca pubblicità dell'opportunità" (solo per alienazioni)</w:t>
            </w:r>
            <w:r w:rsidRPr="00895721">
              <w:rPr>
                <w:rFonts w:ascii="Arial Narrow" w:hAnsi="Arial Narrow" w:cs="Arial"/>
                <w:sz w:val="18"/>
                <w:szCs w:val="18"/>
              </w:rPr>
              <w:br/>
              <w:t>Formalizzazione delle attività di pubblicizzazione da effettuare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delle attività e relativa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29"/>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Risorse economiche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Trasversale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Assegnazione/concessione beni comunali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poca pubblicità dell'opportunità</w:t>
            </w:r>
            <w:r w:rsidRPr="00895721">
              <w:rPr>
                <w:rFonts w:ascii="Arial Narrow" w:hAnsi="Arial Narrow" w:cs="Arial"/>
                <w:sz w:val="18"/>
                <w:szCs w:val="18"/>
              </w:rPr>
              <w:br/>
              <w:t>Disomogeneità delle valutazioni nella verifica delle richieste</w:t>
            </w:r>
          </w:p>
        </w:tc>
        <w:tc>
          <w:tcPr>
            <w:tcW w:w="2538"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t>Rischio "Scarsa trasparenza/poca pubblicità dell'opportunità"</w:t>
            </w:r>
            <w:r w:rsidRPr="00895721">
              <w:rPr>
                <w:rFonts w:ascii="Arial Narrow" w:hAnsi="Arial Narrow" w:cs="Arial"/>
                <w:sz w:val="18"/>
                <w:szCs w:val="18"/>
              </w:rPr>
              <w:br/>
              <w:t>Formalizzazione delle attività di pubblicizzazione da effettuare</w:t>
            </w:r>
            <w:r w:rsidRPr="00895721">
              <w:rPr>
                <w:rFonts w:ascii="Arial Narrow" w:hAnsi="Arial Narrow" w:cs="Arial"/>
                <w:sz w:val="18"/>
                <w:szCs w:val="18"/>
              </w:rPr>
              <w:br/>
              <w:t>Definizione criteri per assegnazione dei beni e modalità di accesso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delle attività e relativa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Finanziario</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verifica delle richieste"</w:t>
            </w:r>
            <w:r w:rsidRPr="00895721">
              <w:rPr>
                <w:rFonts w:ascii="Arial Narrow" w:hAnsi="Arial Narrow" w:cs="Arial"/>
                <w:sz w:val="18"/>
                <w:szCs w:val="18"/>
              </w:rPr>
              <w:br/>
              <w:t>Creazione dell'elenco delle associazioni o altri soggetti potenzialmente beneficiari</w:t>
            </w:r>
            <w:r w:rsidRPr="00895721">
              <w:rPr>
                <w:rFonts w:ascii="Arial Narrow" w:hAnsi="Arial Narrow" w:cs="Arial"/>
                <w:sz w:val="18"/>
                <w:szCs w:val="18"/>
              </w:rPr>
              <w:br/>
              <w:t>Stesura del regolamento di assegnazione sale e spazi pubblici</w:t>
            </w:r>
            <w:r w:rsidRPr="00895721">
              <w:rPr>
                <w:rFonts w:ascii="Arial Narrow" w:hAnsi="Arial Narrow" w:cs="Arial"/>
                <w:sz w:val="18"/>
                <w:szCs w:val="18"/>
              </w:rPr>
              <w:br/>
              <w:t>Esplicitazione della documentazione necessaria per l'ottenimento del beneficio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creazione dell’elenco</w:t>
            </w:r>
            <w:r w:rsidRPr="00895721">
              <w:rPr>
                <w:rFonts w:ascii="Arial Narrow" w:hAnsi="Arial Narrow" w:cs="Arial"/>
                <w:sz w:val="18"/>
                <w:szCs w:val="18"/>
              </w:rPr>
              <w:br/>
              <w:t xml:space="preserve">Adozione del regolamento </w:t>
            </w:r>
            <w:r w:rsidRPr="00895721">
              <w:rPr>
                <w:rFonts w:ascii="Arial Narrow" w:hAnsi="Arial Narrow" w:cs="Arial"/>
                <w:sz w:val="18"/>
                <w:szCs w:val="18"/>
              </w:rPr>
              <w:br/>
              <w:t xml:space="preserve">Avvenuta esplicitazione della documentazione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2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Risorse economiche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Tributi e entrate patrimoniali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Controlli/accertamenti sui tributi/entrate pagati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Assenza di criteri di campionamento</w:t>
            </w:r>
            <w:r w:rsidRPr="00895721">
              <w:rPr>
                <w:rFonts w:ascii="Arial Narrow" w:hAnsi="Arial Narrow" w:cs="Arial"/>
                <w:sz w:val="18"/>
                <w:szCs w:val="18"/>
              </w:rPr>
              <w:br/>
              <w:t>Disomogeneità delle valutazioni</w:t>
            </w:r>
            <w:r w:rsidRPr="00895721">
              <w:rPr>
                <w:rFonts w:ascii="Arial Narrow" w:hAnsi="Arial Narrow" w:cs="Arial"/>
                <w:sz w:val="18"/>
                <w:szCs w:val="18"/>
              </w:rPr>
              <w:br/>
              <w:t>Non rispetto delle scadenze temporali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"Assenza di criteri di campionamento"</w:t>
            </w:r>
            <w:r w:rsidRPr="00895721">
              <w:rPr>
                <w:rFonts w:ascii="Arial Narrow" w:hAnsi="Arial Narrow" w:cs="Arial"/>
                <w:sz w:val="18"/>
                <w:szCs w:val="18"/>
              </w:rPr>
              <w:br/>
              <w:t>Controllo puntuale delle situazioni come da regolamento o definizione di criteri predeterminati per il controllo a campione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Verbale di controllo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2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Formalizzazione di  linee guida per i controlli da effettuare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Redazione delle linee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"Non rispetto delle scadenze temporali"</w:t>
            </w:r>
            <w:r w:rsidRPr="00895721">
              <w:rPr>
                <w:rFonts w:ascii="Arial Narrow" w:hAnsi="Arial Narrow" w:cs="Arial"/>
                <w:sz w:val="18"/>
                <w:szCs w:val="18"/>
              </w:rPr>
              <w:br/>
              <w:t>Monitoraggio dei tempi di evasione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del rispetto dei tempi procedimentali ed evidenza di eventuali scostamenti con relativa indicazione delle cause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46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lastRenderedPageBreak/>
              <w:t>Area Risorse Umane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Personale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Selezione/reclutamento del personale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 durante la selezione</w:t>
            </w:r>
            <w:r w:rsidRPr="00895721">
              <w:rPr>
                <w:rFonts w:ascii="Arial Narrow" w:hAnsi="Arial Narrow" w:cs="Arial"/>
                <w:sz w:val="18"/>
                <w:szCs w:val="18"/>
              </w:rPr>
              <w:br/>
              <w:t>Comportamenti opportunistici nell'utilizzo delle graduatorie</w:t>
            </w:r>
            <w:r w:rsidRPr="00895721">
              <w:rPr>
                <w:rFonts w:ascii="Arial Narrow" w:hAnsi="Arial Narrow" w:cs="Arial"/>
                <w:sz w:val="18"/>
                <w:szCs w:val="18"/>
              </w:rPr>
              <w:br/>
              <w:t>Disomogeneità nel controllo del possesso dei requisiti dichiarati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durante la selezione"</w:t>
            </w:r>
            <w:r w:rsidRPr="00895721">
              <w:rPr>
                <w:rFonts w:ascii="Arial Narrow" w:hAnsi="Arial Narrow" w:cs="Arial"/>
                <w:sz w:val="18"/>
                <w:szCs w:val="18"/>
              </w:rPr>
              <w:br/>
              <w:t>Definizione di criteri stringenti per le diverse tipologie di chiamate a termine</w:t>
            </w:r>
            <w:r w:rsidRPr="00895721">
              <w:rPr>
                <w:rFonts w:ascii="Arial Narrow" w:hAnsi="Arial Narrow" w:cs="Arial"/>
                <w:sz w:val="18"/>
                <w:szCs w:val="18"/>
              </w:rPr>
              <w:br/>
              <w:t>Creazione di griglie per la valutazione dei candidati</w:t>
            </w:r>
            <w:r w:rsidRPr="00895721">
              <w:rPr>
                <w:rFonts w:ascii="Arial Narrow" w:hAnsi="Arial Narrow" w:cs="Arial"/>
                <w:sz w:val="18"/>
                <w:szCs w:val="18"/>
              </w:rPr>
              <w:br/>
              <w:t>Definizione di criteri per la composizione delle commissioni e verifica che chi vi partecipa non abbia  legami parentali con i concorrenti</w:t>
            </w:r>
            <w:r w:rsidRPr="00895721">
              <w:rPr>
                <w:rFonts w:ascii="Arial Narrow" w:hAnsi="Arial Narrow" w:cs="Arial"/>
                <w:sz w:val="18"/>
                <w:szCs w:val="18"/>
              </w:rPr>
              <w:br/>
              <w:t>Ricorso a criteri statistici casuali nella scelta dei temi o delle domande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Norme regolamentari nel rogp -   Relazione alla GC - Dichiarazion dafare firmare ai Commissari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54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nel controllo del possesso dei requisiti dichiarati"</w:t>
            </w:r>
            <w:r w:rsidRPr="00895721">
              <w:rPr>
                <w:rFonts w:ascii="Arial Narrow" w:hAnsi="Arial Narrow" w:cs="Arial"/>
                <w:sz w:val="18"/>
                <w:szCs w:val="18"/>
              </w:rPr>
              <w:br/>
              <w:t>Creazione di supporti operativi per la effettuazione dei controlli dei requisiti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Istruzione Operativa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5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Risorse Umane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Personale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Mobilità tra enti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trasparenza/poca pubblicità della opportunità</w:t>
            </w:r>
            <w:r w:rsidRPr="00895721">
              <w:rPr>
                <w:rFonts w:ascii="Arial Narrow" w:hAnsi="Arial Narrow" w:cs="Arial"/>
                <w:sz w:val="18"/>
                <w:szCs w:val="18"/>
              </w:rPr>
              <w:br/>
              <w:t>Disomogeneità delle valutazioni durante la selezione</w:t>
            </w:r>
            <w:r w:rsidRPr="00895721">
              <w:rPr>
                <w:rFonts w:ascii="Arial Narrow" w:hAnsi="Arial Narrow" w:cs="Arial"/>
                <w:sz w:val="18"/>
                <w:szCs w:val="18"/>
              </w:rPr>
              <w:br/>
              <w:t>Comportamenti opportunistici nell'utilizzo delle graduatorie di altri enti”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trasparenza/poca pubblicità dell'opportunità"</w:t>
            </w:r>
            <w:r w:rsidRPr="00895721">
              <w:rPr>
                <w:rFonts w:ascii="Arial Narrow" w:hAnsi="Arial Narrow" w:cs="Arial"/>
                <w:sz w:val="18"/>
                <w:szCs w:val="18"/>
              </w:rPr>
              <w:br/>
              <w:t>Pubblicazione dei bandi di selezione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5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durante la selezione"</w:t>
            </w:r>
            <w:r w:rsidRPr="00895721">
              <w:rPr>
                <w:rFonts w:ascii="Arial Narrow" w:hAnsi="Arial Narrow" w:cs="Arial"/>
                <w:sz w:val="18"/>
                <w:szCs w:val="18"/>
              </w:rPr>
              <w:br/>
              <w:t>Creazione di griglie per la valutazione dei candidati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Realizzazione delle griglie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23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"Comportamenti opportunistici nell'utilizzo delle graduatorie di altri enti”</w:t>
            </w:r>
            <w:r w:rsidRPr="00895721">
              <w:rPr>
                <w:rFonts w:ascii="Arial Narrow" w:hAnsi="Arial Narrow" w:cs="Arial"/>
                <w:sz w:val="18"/>
                <w:szCs w:val="18"/>
              </w:rPr>
              <w:br/>
              <w:t>Formalizzazione preventiva di criteri (es. vicinanza territoriale), per l’utilizzo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formalizzazione dei criteri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40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Risorse Umane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Personale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Progressioni di carriera</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1</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Disomogeneità delle valutazioni durante la selezione</w:t>
            </w:r>
            <w:r w:rsidRPr="00895721">
              <w:rPr>
                <w:rFonts w:ascii="Arial Narrow" w:hAnsi="Arial Narrow" w:cs="Arial"/>
                <w:sz w:val="18"/>
                <w:szCs w:val="18"/>
              </w:rPr>
              <w:br/>
              <w:t xml:space="preserve">Disomogeneità nel controllo del possesso dei requisiti dichiarati                                             </w:t>
            </w:r>
            <w:r w:rsidRPr="00895721">
              <w:rPr>
                <w:rFonts w:ascii="Arial Narrow" w:hAnsi="Arial Narrow" w:cs="Arial"/>
                <w:sz w:val="18"/>
                <w:szCs w:val="18"/>
              </w:rPr>
              <w:br/>
              <w:t>Disomogeneità nell'attivazione delle procedure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durante la selezione"</w:t>
            </w:r>
            <w:r w:rsidRPr="00895721">
              <w:rPr>
                <w:rFonts w:ascii="Arial Narrow" w:hAnsi="Arial Narrow" w:cs="Arial"/>
                <w:sz w:val="18"/>
                <w:szCs w:val="18"/>
              </w:rPr>
              <w:br/>
              <w:t>Creazione di griglie per la valutazione dei candidati</w:t>
            </w:r>
            <w:r w:rsidRPr="00895721">
              <w:rPr>
                <w:rFonts w:ascii="Arial Narrow" w:hAnsi="Arial Narrow" w:cs="Arial"/>
                <w:sz w:val="18"/>
                <w:szCs w:val="18"/>
              </w:rPr>
              <w:br/>
              <w:t>Definizione di criteri per la composizione delle commissioni e verifica che chi vi partecipa non abbia  legami parentali con i concorrenti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Realizzazione delle griglie</w:t>
            </w:r>
            <w:r w:rsidRPr="00895721">
              <w:rPr>
                <w:rFonts w:ascii="Arial Narrow" w:hAnsi="Arial Narrow" w:cs="Arial"/>
                <w:sz w:val="18"/>
                <w:szCs w:val="18"/>
              </w:rPr>
              <w:br/>
              <w:t>Avvenuta formalizzazione dei criteri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nel controllo del possesso dei requisiti dichiarati"</w:t>
            </w:r>
            <w:r w:rsidRPr="00895721">
              <w:rPr>
                <w:rFonts w:ascii="Arial Narrow" w:hAnsi="Arial Narrow" w:cs="Arial"/>
                <w:sz w:val="18"/>
                <w:szCs w:val="18"/>
              </w:rPr>
              <w:br/>
              <w:t>Creazione di supporti operativi per la effettuazione dei controlli dei requisiti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Creazione dei supporti operativi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085"/>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Servizi alla persona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Sociale/Cultura/Sport/Tempo libero</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Erogazione di contributi e benefici economici a associazioni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5</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poca pubblicità dell'opportunità</w:t>
            </w:r>
            <w:r w:rsidRPr="00895721">
              <w:rPr>
                <w:rFonts w:ascii="Arial Narrow" w:hAnsi="Arial Narrow" w:cs="Arial"/>
                <w:sz w:val="18"/>
                <w:szCs w:val="18"/>
              </w:rPr>
              <w:br/>
              <w:t>Disomogeneità delle valutazioni nella verifica delle richieste</w:t>
            </w:r>
            <w:r w:rsidRPr="00895721">
              <w:rPr>
                <w:rFonts w:ascii="Arial Narrow" w:hAnsi="Arial Narrow" w:cs="Arial"/>
                <w:sz w:val="18"/>
                <w:szCs w:val="18"/>
              </w:rPr>
              <w:br/>
              <w:t xml:space="preserve">Scarso controllo del </w:t>
            </w:r>
            <w:r w:rsidRPr="00895721">
              <w:rPr>
                <w:rFonts w:ascii="Arial Narrow" w:hAnsi="Arial Narrow" w:cs="Arial"/>
                <w:sz w:val="18"/>
                <w:szCs w:val="18"/>
              </w:rPr>
              <w:lastRenderedPageBreak/>
              <w:t>possesso dei requisiti dichiarati e della rendicontazione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lastRenderedPageBreak/>
              <w:t>Rischio "Scarsa trasparenza/poca pubblicità dell'opportunità"</w:t>
            </w:r>
            <w:r w:rsidRPr="00895721">
              <w:rPr>
                <w:rFonts w:ascii="Arial Narrow" w:hAnsi="Arial Narrow" w:cs="Arial"/>
                <w:sz w:val="18"/>
                <w:szCs w:val="18"/>
              </w:rPr>
              <w:br/>
              <w:t>Pubblicizzazione delle modalità di accesso al contributo e della tempistica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Schede Servizi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211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verifica delle richieste"</w:t>
            </w:r>
            <w:r w:rsidRPr="00895721">
              <w:rPr>
                <w:rFonts w:ascii="Arial Narrow" w:hAnsi="Arial Narrow" w:cs="Arial"/>
                <w:sz w:val="18"/>
                <w:szCs w:val="18"/>
              </w:rPr>
              <w:br/>
              <w:t xml:space="preserve">Stesura regolamento per l'erogazione dei contributi con esplicitazione dei criteri </w:t>
            </w:r>
            <w:r w:rsidRPr="00895721">
              <w:rPr>
                <w:rFonts w:ascii="Arial Narrow" w:hAnsi="Arial Narrow" w:cs="Arial"/>
                <w:sz w:val="18"/>
                <w:szCs w:val="18"/>
              </w:rPr>
              <w:br/>
              <w:t>Esplicitazione dei requisiti e della documentazione necessaria per l'ottenimento del beneficio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Norma regolamentare  Scheda Servizi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1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possesso dei requisiti dichiarati"</w:t>
            </w:r>
            <w:r w:rsidRPr="00895721">
              <w:rPr>
                <w:rFonts w:ascii="Arial Narrow" w:hAnsi="Arial Narrow" w:cs="Arial"/>
                <w:sz w:val="18"/>
                <w:szCs w:val="18"/>
              </w:rPr>
              <w:br/>
              <w:t>Controllo puntuale dei requisiti e della documentazione consegnata e della rendicontazione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controlli effettuati   linea guida interna sul controllo dei requisiti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4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Servizi alla persona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Sociale/Cultura/Sport/Tempo libero</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Utilizzo di sale, impianti e strutture di proprietà comunale</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poca pubblicità dell'opportunità</w:t>
            </w:r>
            <w:r w:rsidRPr="00895721">
              <w:rPr>
                <w:rFonts w:ascii="Arial Narrow" w:hAnsi="Arial Narrow" w:cs="Arial"/>
                <w:sz w:val="18"/>
                <w:szCs w:val="18"/>
              </w:rPr>
              <w:br/>
              <w:t>Disomogeneità delle valutazioni nella verifica delle richieste</w:t>
            </w:r>
            <w:r w:rsidRPr="00895721">
              <w:rPr>
                <w:rFonts w:ascii="Arial Narrow" w:hAnsi="Arial Narrow" w:cs="Arial"/>
                <w:sz w:val="18"/>
                <w:szCs w:val="18"/>
              </w:rPr>
              <w:br/>
              <w:t>Scarso controllo del corretto utilizzo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trasparenza/poca pubblicità dell'opportunità"</w:t>
            </w:r>
            <w:r w:rsidRPr="00895721">
              <w:rPr>
                <w:rFonts w:ascii="Arial Narrow" w:hAnsi="Arial Narrow" w:cs="Arial"/>
                <w:sz w:val="18"/>
                <w:szCs w:val="18"/>
              </w:rPr>
              <w:br/>
              <w:t>Pubblicizzazione delle strutture disponibili e delle modalità di accesso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Schede Servizi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6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verifica delle richieste"</w:t>
            </w:r>
            <w:r w:rsidRPr="00895721">
              <w:rPr>
                <w:rFonts w:ascii="Arial Narrow" w:hAnsi="Arial Narrow" w:cs="Arial"/>
                <w:sz w:val="18"/>
                <w:szCs w:val="18"/>
              </w:rPr>
              <w:br/>
              <w:t>Stesura regolamento per la gestione delle sale e strutture</w:t>
            </w:r>
            <w:r w:rsidRPr="00895721">
              <w:rPr>
                <w:rFonts w:ascii="Arial Narrow" w:hAnsi="Arial Narrow" w:cs="Arial"/>
                <w:sz w:val="18"/>
                <w:szCs w:val="18"/>
              </w:rPr>
              <w:br/>
              <w:t>Esplicitazione della documentazione necessaria per la concessione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Norma regolamentare  Schede Servizi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9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corretto utilizzo"</w:t>
            </w:r>
            <w:r w:rsidRPr="00895721">
              <w:rPr>
                <w:rFonts w:ascii="Arial Narrow" w:hAnsi="Arial Narrow" w:cs="Arial"/>
                <w:sz w:val="18"/>
                <w:szCs w:val="18"/>
              </w:rPr>
              <w:br/>
              <w:t>Creazione di supporti operativi per la effettuazione dei controlli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86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Servizi alla persona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Istruzione - asilo nido</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Accesso a servizi (Nido di Infanzia, tagesmutter, soggiorni estivi, colonie)</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poca pubblicità dell'opportunità</w:t>
            </w:r>
            <w:r w:rsidRPr="00895721">
              <w:rPr>
                <w:rFonts w:ascii="Arial Narrow" w:hAnsi="Arial Narrow" w:cs="Arial"/>
                <w:sz w:val="18"/>
                <w:szCs w:val="18"/>
              </w:rPr>
              <w:br/>
              <w:t>Disomogeneità delle valutazioni nella verifica delle richieste</w:t>
            </w:r>
            <w:r w:rsidRPr="00895721">
              <w:rPr>
                <w:rFonts w:ascii="Arial Narrow" w:hAnsi="Arial Narrow" w:cs="Arial"/>
                <w:sz w:val="18"/>
                <w:szCs w:val="18"/>
              </w:rPr>
              <w:br/>
              <w:t>Scarso controllo del possesso dei requisiti dichiarati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trasparenza/poca pubblicità dell'opportunità"</w:t>
            </w:r>
            <w:r w:rsidRPr="00895721">
              <w:rPr>
                <w:rFonts w:ascii="Arial Narrow" w:hAnsi="Arial Narrow" w:cs="Arial"/>
                <w:sz w:val="18"/>
                <w:szCs w:val="18"/>
              </w:rPr>
              <w:br/>
              <w:t>Verifica pubblicazione informazioni sulle opportunità, le strutture e le modalità di accesso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Statisticamente posti superiori alle domande </w:t>
            </w:r>
          </w:p>
        </w:tc>
      </w:tr>
      <w:tr w:rsidR="00895721" w:rsidRPr="00895721" w:rsidTr="00895721">
        <w:trPr>
          <w:trHeight w:val="154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  nella verifica delle richieste"</w:t>
            </w:r>
            <w:r w:rsidRPr="00895721">
              <w:rPr>
                <w:rFonts w:ascii="Arial Narrow" w:hAnsi="Arial Narrow" w:cs="Arial"/>
                <w:sz w:val="18"/>
                <w:szCs w:val="18"/>
              </w:rPr>
              <w:br/>
              <w:t>Stesura regolamento per l'accesso</w:t>
            </w:r>
            <w:r w:rsidRPr="00895721">
              <w:rPr>
                <w:rFonts w:ascii="Arial Narrow" w:hAnsi="Arial Narrow" w:cs="Arial"/>
                <w:sz w:val="18"/>
                <w:szCs w:val="18"/>
              </w:rPr>
              <w:br/>
              <w:t>Esplicitazione della documentazione necessaria per l’attivazione del servizio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Adozione del regolamento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noWrap/>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14"/>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 Generale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 Generale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Gestione accesso agli atti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Disomogenità nella valutazione delle richieste </w:t>
            </w:r>
            <w:r w:rsidRPr="00895721">
              <w:rPr>
                <w:rFonts w:ascii="Arial Narrow" w:hAnsi="Arial Narrow" w:cs="Arial"/>
                <w:sz w:val="18"/>
                <w:szCs w:val="18"/>
              </w:rPr>
              <w:br/>
              <w:t xml:space="preserve">Violazione della privacy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nella valutazione delle richieste"</w:t>
            </w:r>
            <w:r w:rsidRPr="00895721">
              <w:rPr>
                <w:rFonts w:ascii="Arial Narrow" w:hAnsi="Arial Narrow" w:cs="Arial"/>
                <w:sz w:val="18"/>
                <w:szCs w:val="18"/>
              </w:rPr>
              <w:br/>
              <w:t>Standardizzazione della modulistica con particolare riferimento all'esplicitazione della motivazione della richiesta e del procedimento amministrativo cui si riferisce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standardizzazione della modulistica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w:t>
            </w:r>
          </w:p>
        </w:tc>
      </w:tr>
      <w:tr w:rsidR="00895721" w:rsidRPr="00895721" w:rsidTr="00895721">
        <w:trPr>
          <w:trHeight w:val="183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"Violazione privacy"</w:t>
            </w:r>
            <w:r w:rsidRPr="00895721">
              <w:rPr>
                <w:rFonts w:ascii="Arial Narrow" w:hAnsi="Arial Narrow" w:cs="Arial"/>
                <w:sz w:val="18"/>
                <w:szCs w:val="18"/>
              </w:rPr>
              <w:br/>
              <w:t>Tracciabilità informatica di accessi e interrogazioni alle banche dati con elementi sensibili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gestione degli accessi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w:t>
            </w:r>
          </w:p>
        </w:tc>
      </w:tr>
      <w:tr w:rsidR="00895721" w:rsidRPr="00895721" w:rsidTr="00895721">
        <w:trPr>
          <w:trHeight w:val="192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 Generale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Tutti i servizi che affidano incarichi</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Incarichi e consulenze professionali</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dell’affidamento dell'incarico/consulenza</w:t>
            </w:r>
            <w:r w:rsidRPr="00895721">
              <w:rPr>
                <w:rFonts w:ascii="Arial Narrow" w:hAnsi="Arial Narrow" w:cs="Arial"/>
                <w:sz w:val="18"/>
                <w:szCs w:val="18"/>
              </w:rPr>
              <w:br/>
              <w:t xml:space="preserve">Disomogeneità di valutazione nella individuazione del soggetto destinatario </w:t>
            </w:r>
            <w:r w:rsidRPr="00895721">
              <w:rPr>
                <w:rFonts w:ascii="Arial Narrow" w:hAnsi="Arial Narrow" w:cs="Arial"/>
                <w:sz w:val="18"/>
                <w:szCs w:val="18"/>
              </w:rPr>
              <w:br/>
              <w:t>Scarso controllo del possesso dei requisiti dichiarati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"Scarsa trasparenza"</w:t>
            </w:r>
            <w:r w:rsidRPr="00895721">
              <w:rPr>
                <w:rFonts w:ascii="Arial Narrow" w:hAnsi="Arial Narrow" w:cs="Arial"/>
                <w:sz w:val="18"/>
                <w:szCs w:val="18"/>
              </w:rPr>
              <w:br/>
              <w:t>Pubblicazione di richieste di offerta/bandi</w:t>
            </w:r>
            <w:r w:rsidRPr="00895721">
              <w:rPr>
                <w:rFonts w:ascii="Arial Narrow" w:hAnsi="Arial Narrow" w:cs="Arial"/>
                <w:sz w:val="18"/>
                <w:szCs w:val="18"/>
              </w:rPr>
              <w:br/>
              <w:t>Predisposizione di indirizzi per l'affidamento di incarichi di consulenza e collaborazione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27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"Disomogeneità delle valutazioni"</w:t>
            </w:r>
            <w:r w:rsidRPr="00895721">
              <w:rPr>
                <w:rFonts w:ascii="Arial Narrow" w:hAnsi="Arial Narrow" w:cs="Arial"/>
                <w:sz w:val="18"/>
                <w:szCs w:val="18"/>
              </w:rPr>
              <w:br/>
              <w:t>Creazione di griglie per la valutazione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Realizzazione delle griglie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33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possesso dei requisiti dichiarati"</w:t>
            </w:r>
            <w:r w:rsidRPr="00895721">
              <w:rPr>
                <w:rFonts w:ascii="Arial Narrow" w:hAnsi="Arial Narrow" w:cs="Arial"/>
                <w:sz w:val="18"/>
                <w:szCs w:val="18"/>
              </w:rPr>
              <w:br/>
              <w:t xml:space="preserve">Creazione di supporti operativi per la effettuazione dei controlli dei requisiti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Realizzazione dei supporti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44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 Generale</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Segreteria Generale </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Nomine politiche in società in house e controllate</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4</w:t>
            </w: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Scarsa trasparenza nell'attribuzione delle nomine politiche</w:t>
            </w:r>
            <w:r w:rsidRPr="00895721">
              <w:rPr>
                <w:rFonts w:ascii="Arial Narrow" w:hAnsi="Arial Narrow" w:cs="Arial"/>
                <w:sz w:val="18"/>
                <w:szCs w:val="18"/>
              </w:rPr>
              <w:br/>
              <w:t xml:space="preserve">Disomogeneità di valutazione nella </w:t>
            </w:r>
            <w:r w:rsidRPr="00895721">
              <w:rPr>
                <w:rFonts w:ascii="Arial Narrow" w:hAnsi="Arial Narrow" w:cs="Arial"/>
                <w:sz w:val="18"/>
                <w:szCs w:val="18"/>
              </w:rPr>
              <w:lastRenderedPageBreak/>
              <w:t xml:space="preserve">individuazione del soggetto destinatario </w:t>
            </w:r>
            <w:r w:rsidRPr="00895721">
              <w:rPr>
                <w:rFonts w:ascii="Arial Narrow" w:hAnsi="Arial Narrow" w:cs="Arial"/>
                <w:sz w:val="18"/>
                <w:szCs w:val="18"/>
              </w:rPr>
              <w:br/>
              <w:t>Scarso controllo del possesso dei requisiti dichiarati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lastRenderedPageBreak/>
              <w:t>Rischio "Scarsa trasparenza"</w:t>
            </w:r>
            <w:r w:rsidRPr="00895721">
              <w:rPr>
                <w:rFonts w:ascii="Arial Narrow" w:hAnsi="Arial Narrow" w:cs="Arial"/>
                <w:sz w:val="18"/>
                <w:szCs w:val="18"/>
              </w:rPr>
              <w:br/>
              <w:t>Procedura formalizzata che garantisca l'effettuazione di tutte le attività previste dalla norma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realizzazione della procedura formalizzata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1035"/>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Rischio "Disomogeneità delle valutazioni" </w:t>
            </w:r>
            <w:r w:rsidRPr="00895721">
              <w:rPr>
                <w:rFonts w:ascii="Arial Narrow" w:hAnsi="Arial Narrow" w:cs="Arial"/>
                <w:sz w:val="18"/>
                <w:szCs w:val="18"/>
              </w:rPr>
              <w:br/>
              <w:t>Creazione di griglie per la valutazione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Realizzazione delle griglie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Rischio "Scarso controllo del possesso dei requisiti dichiarati"</w:t>
            </w:r>
            <w:r w:rsidRPr="00895721">
              <w:rPr>
                <w:rFonts w:ascii="Arial Narrow" w:hAnsi="Arial Narrow" w:cs="Arial"/>
                <w:sz w:val="18"/>
                <w:szCs w:val="18"/>
              </w:rPr>
              <w:br/>
              <w:t xml:space="preserve">Creazione di supporti operativi (autodichiarazioni) per il controllo dei requisiti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Realizzazione dei supporti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Responsabile</w:t>
            </w:r>
            <w:r w:rsidRPr="00895721">
              <w:rPr>
                <w:rFonts w:ascii="Arial Narrow" w:hAnsi="Arial Narrow" w:cs="Arial"/>
                <w:sz w:val="18"/>
                <w:szCs w:val="18"/>
              </w:rPr>
              <w:br/>
              <w:t>Demografici</w:t>
            </w:r>
          </w:p>
        </w:tc>
        <w:tc>
          <w:tcPr>
            <w:tcW w:w="1842"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w:t>
            </w:r>
          </w:p>
        </w:tc>
      </w:tr>
      <w:tr w:rsidR="00895721" w:rsidRPr="00895721" w:rsidTr="00895721">
        <w:trPr>
          <w:trHeight w:val="504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Segreteria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Programmazione</w:t>
            </w: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definizione del fabbisogno</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abuso della possibilità per i privati di partecipare alla fase di programmazione/ alterazione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Utilizzo di avvisi di preinformazione quand’anche facoltativi.</w:t>
            </w:r>
            <w:r w:rsidRPr="00895721">
              <w:rPr>
                <w:rFonts w:ascii="Arial Narrow" w:hAnsi="Arial Narrow" w:cs="Arial"/>
                <w:sz w:val="18"/>
                <w:szCs w:val="18"/>
              </w:rPr>
              <w:br/>
            </w:r>
            <w:r w:rsidRPr="00895721">
              <w:rPr>
                <w:rFonts w:ascii="Arial Narrow" w:hAnsi="Arial Narrow" w:cs="Arial"/>
                <w:sz w:val="18"/>
                <w:szCs w:val="18"/>
              </w:rPr>
              <w:br/>
              <w:t>Adozione di criteri trasparenti per documentare il dialogo con i soggetti privati e con le associazioni di categoria, prevedendo, tra l’altro, verbalizzazioni e incontri aperti al pubblico e il coinvolgimento del RPC.</w:t>
            </w:r>
            <w:r w:rsidRPr="00895721">
              <w:rPr>
                <w:rFonts w:ascii="Arial Narrow" w:hAnsi="Arial Narrow" w:cs="Arial"/>
                <w:sz w:val="18"/>
                <w:szCs w:val="18"/>
              </w:rPr>
              <w:br/>
            </w:r>
            <w:r w:rsidRPr="00895721">
              <w:rPr>
                <w:rFonts w:ascii="Arial Narrow" w:hAnsi="Arial Narrow" w:cs="Arial"/>
                <w:sz w:val="18"/>
                <w:szCs w:val="18"/>
              </w:rPr>
              <w:br/>
              <w:t>Adozione di strumenti di programmazione partecipata (debat public, quali consultazioni preliminari, dibattiti pubblici strutturati, informative a gruppi già organizzati) in un momento che precede l’approvazione formale degli strumenti di programmazione dei lavori pubblici, anche al fine di individuare le opere da realizzarsi in via prioritaria.</w:t>
            </w:r>
            <w:r w:rsidRPr="00895721">
              <w:rPr>
                <w:rFonts w:ascii="Arial Narrow" w:hAnsi="Arial Narrow" w:cs="Arial"/>
                <w:sz w:val="18"/>
                <w:szCs w:val="18"/>
              </w:rPr>
              <w:br/>
            </w:r>
            <w:r w:rsidRPr="00895721">
              <w:rPr>
                <w:rFonts w:ascii="Arial Narrow" w:hAnsi="Arial Narrow" w:cs="Arial"/>
                <w:sz w:val="18"/>
                <w:szCs w:val="18"/>
              </w:rPr>
              <w:br/>
              <w:t xml:space="preserve">Formalizzazione dell’avvenuto coinvolgimento delle strutture richiedenti nella fase di </w:t>
            </w:r>
            <w:r w:rsidRPr="00895721">
              <w:rPr>
                <w:rFonts w:ascii="Arial Narrow" w:hAnsi="Arial Narrow" w:cs="Arial"/>
                <w:sz w:val="18"/>
                <w:szCs w:val="18"/>
              </w:rPr>
              <w:lastRenderedPageBreak/>
              <w:t>programmazione, in modo da assicurare una maggiore trasparenza e tracciabilità dell’avvenuta condivisione delle scelte di approvvigionamento.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lastRenderedPageBreak/>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Un indicatore utile per la fase in esame è quello relativo all’analisi del valore degli appalti affidati tramite procedure non concorrenziali (affidamenti diretti, cottimi fiduciari, procedure negoziate con e senza previa pubblicazione del bando di gara) riferiti alle stesse classi merceologiche di prodotti/servizi in un determinato arco temporale. Nel caso in cui la somma dei valori di questi affidamenti, per gli stessi servizi o forniture, sia superiore alle soglie di rilevanza comunitaria che impongono di affidare tramite procedure aperte o ristrette, potranno essere necessari </w:t>
            </w:r>
            <w:r w:rsidRPr="00895721">
              <w:rPr>
                <w:rFonts w:ascii="Arial Narrow" w:hAnsi="Arial Narrow" w:cs="Arial"/>
                <w:sz w:val="18"/>
                <w:szCs w:val="18"/>
              </w:rPr>
              <w:lastRenderedPageBreak/>
              <w:t>approfondimenti volti a comprendere le ragioni di una programmazione carente che ha condotto al frazionamento delle gare.</w:t>
            </w: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Intempestiva predisposizione degli strumenti di programmazione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Programmazione annuale anche per acquisti di servizi e forniture.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Documento programmatico</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32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Alterazione ordine priorità per favorire operatore economico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Obbligo di adeguata motivazione in fase di programmazione in relazione a natura, quantità e tempistica della prestazione, sulla base di esigenze effettive e documentate emerse da apposita rilevazione nei confronti degli uffici richiedenti.</w:t>
            </w:r>
            <w:r w:rsidRPr="00895721">
              <w:rPr>
                <w:rFonts w:ascii="Arial Narrow" w:hAnsi="Arial Narrow" w:cs="Arial"/>
                <w:sz w:val="18"/>
                <w:szCs w:val="18"/>
              </w:rPr>
              <w:br/>
            </w:r>
            <w:r w:rsidRPr="00895721">
              <w:rPr>
                <w:rFonts w:ascii="Arial Narrow" w:hAnsi="Arial Narrow" w:cs="Arial"/>
                <w:sz w:val="18"/>
                <w:szCs w:val="18"/>
              </w:rPr>
              <w:br/>
              <w:t>In fase di individuazione del quadro dei fabbisogni, predeterminazione dei criteri per individuarne le priorità.</w:t>
            </w:r>
            <w:r w:rsidRPr="00895721">
              <w:rPr>
                <w:rFonts w:ascii="Arial Narrow" w:hAnsi="Arial Narrow" w:cs="Arial"/>
                <w:sz w:val="18"/>
                <w:szCs w:val="18"/>
              </w:rPr>
              <w:br/>
              <w:t>Pubblicazione, sui siti istituzionali, di report periodici in cui siano rendicontati i contratti prorogati e i contratti affidati in via d’urgenza e relative motivazioni.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52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Tecnica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Progettazione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effettuazione delle consultazioni preliminari di mercato per la definizione delle specifiche tecniche;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l’attribuzione impropria dei vantaggi competitivi mediante utilizzo distorto dello strumento delle consultazioni preliminari di mercato/Alterazione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Effettuazione di consultazioni collettive e/o incrociate di più operatori e adeguata verbalizzazione/registrazione delle stesse.</w:t>
            </w:r>
            <w:r w:rsidRPr="00895721">
              <w:rPr>
                <w:rFonts w:ascii="Arial Narrow" w:hAnsi="Arial Narrow" w:cs="Arial"/>
                <w:sz w:val="18"/>
                <w:szCs w:val="18"/>
              </w:rPr>
              <w:br/>
            </w:r>
            <w:r w:rsidRPr="00895721">
              <w:rPr>
                <w:rFonts w:ascii="Arial Narrow" w:hAnsi="Arial Narrow" w:cs="Arial"/>
                <w:sz w:val="18"/>
                <w:szCs w:val="18"/>
              </w:rPr>
              <w:br/>
              <w:t>Pubblicazione di un avviso in cui la stazione appaltante rende nota l’intenzione di procedere a consultazioni preliminari di mercato per la redazione delle specifiche tecniche.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Un indicatore riguarda il rapporto tra il numero di procedure negoziate con o senza previa pubblicazione del bando e di affidamenti diretti/cottimi fiduciari sul numero totale di procedure attivate dalla stessa amministrazione in un definito arco temporale. </w:t>
            </w:r>
            <w:r w:rsidRPr="00895721">
              <w:rPr>
                <w:rFonts w:ascii="Arial Narrow" w:hAnsi="Arial Narrow" w:cs="Arial"/>
                <w:sz w:val="18"/>
                <w:szCs w:val="18"/>
              </w:rPr>
              <w:br/>
              <w:t xml:space="preserve">Un indicatore analogo può essere costruito considerando non il numero ma il valore delle procedure non aperte, </w:t>
            </w:r>
            <w:r w:rsidRPr="00895721">
              <w:rPr>
                <w:rFonts w:ascii="Arial Narrow" w:hAnsi="Arial Narrow" w:cs="Arial"/>
                <w:sz w:val="18"/>
                <w:szCs w:val="18"/>
              </w:rPr>
              <w:lastRenderedPageBreak/>
              <w:t>da rapportare al valore complessivo delle procedure in un periodo determinato.</w:t>
            </w:r>
            <w:r w:rsidRPr="00895721">
              <w:rPr>
                <w:rFonts w:ascii="Arial Narrow" w:hAnsi="Arial Narrow" w:cs="Arial"/>
                <w:sz w:val="18"/>
                <w:szCs w:val="18"/>
              </w:rPr>
              <w:br/>
              <w:t>Altro possibile indicatore (individuazione corretta del valore stimato del contratto) analizzando i valori iniziali di tutti gli affidamenti non concorrenziali in un determinato arco temporale che in corso di esecuzione o una volta eseguiti abbiano oltrepassato i valori soglia previsti normativamente.</w:t>
            </w:r>
            <w:r w:rsidRPr="00895721">
              <w:rPr>
                <w:rFonts w:ascii="Arial Narrow" w:hAnsi="Arial Narrow" w:cs="Arial"/>
                <w:sz w:val="18"/>
                <w:szCs w:val="18"/>
              </w:rPr>
              <w:br/>
              <w:t xml:space="preserve">Numero di affidamenti fatti in un determinato arco temporale che hanno utilizzato come criterio di scelta quello dell’offerta economicamente più vantaggiosa (OEPV). Un indicatore facilmente calcolabile è quindi il conteggio degli affidamenti fatti con OEPV rispetto a tutti gli affidamenti effettuati in un determinato periodo e anche una valutazione complessiva per questi </w:t>
            </w:r>
            <w:r w:rsidRPr="00895721">
              <w:rPr>
                <w:rFonts w:ascii="Arial Narrow" w:hAnsi="Arial Narrow" w:cs="Arial"/>
                <w:sz w:val="18"/>
                <w:szCs w:val="18"/>
              </w:rPr>
              <w:lastRenderedPageBreak/>
              <w:t>specifici affidamenti del peso percentuale delle componenti qualitative rispetto a quelle oggettivamente valutabili.</w:t>
            </w:r>
          </w:p>
        </w:tc>
      </w:tr>
      <w:tr w:rsidR="00895721" w:rsidRPr="00895721" w:rsidTr="00895721">
        <w:trPr>
          <w:trHeight w:val="999"/>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nomina del responsabile del procedimento;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carenza di requisiti professionali/Disomogeneità di comportamento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Misure di trasparenza volte a garantire la nomina di RP a soggetti in possesso dei requisiti di professionalità necessari.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Contiguità con imprese concorrenti/Conflitto di interessi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di procedure interne che individuino criteri di rotazione nella nomina del RP e atte a rilevare l’assenza di conflitto di interesse in capo allo stesso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definizione delle procedure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4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individuazione dello strumento/istituto per l’affidamento;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Elusione delle regole di affidamento degli appalti per favorire un operatore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Adozione di direttive interne/linee guida che introducano criteri stringenti ai quali attenersi nella determinazione del valore stimato del contratto avendo riguardo alle norme pertinenti e all’oggetto complessivo del contratto.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adozione delle linee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296"/>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individuazione degli elementi essenziali del contratto;</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fuga di notizie/Alterazione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Sottoscrizione da parte dei soggetti coinvolti nella redazione della documentazione di gara di dichiarazioni in cui si attesta l’assenza di interessi personali in relazione allo specifico oggetto della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dichiarazioni firmate/n° commissari</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32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Predisposizione di clausole contrattuali dal contenuto vago o vessatorio per disincentivare la partecipazione alla gara ovvero per consentire modifiche in fase di esecuzione/alterazione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br/>
            </w:r>
            <w:r w:rsidRPr="00895721">
              <w:rPr>
                <w:rFonts w:ascii="Arial Narrow" w:hAnsi="Arial Narrow" w:cs="Arial"/>
                <w:sz w:val="18"/>
                <w:szCs w:val="18"/>
              </w:rPr>
              <w:br/>
              <w:t>Obbligo di dettagliare nel bando di gara in modo trasparente e congruo i requisiti minimi di ammissibilità delle varianti progettuali in sede di offerta.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5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scelta della procedura di aggiudicazione, con particolare attenzione al ricorso alla procedura negoziata; </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Abuso delle disposizioni in materia di determinazione del valore stimato del contratto al fine di eludere le disposizioni sulle procedure da porre in essere/alterazione della concorrenza</w:t>
            </w:r>
          </w:p>
        </w:tc>
        <w:tc>
          <w:tcPr>
            <w:tcW w:w="2538"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Obbligo di motivazione nella determina a contrarre in ordine sia alla scelta della procedura sia alla scelta del sistema di affidamento adottato ovvero della tipologia contrattuale (ad esempio appalto vs. concessione).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36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Formulazione di criteri di valutazione e di attribuzione dei punteggi (tecnici ed economici) che possono avvantaggiare il fornitore uscente, grazie ad asimmetrie informative esistenti a suo favore ovvero, comunque, favorire determinati operatori economici</w:t>
            </w:r>
          </w:p>
        </w:tc>
        <w:tc>
          <w:tcPr>
            <w:tcW w:w="2538" w:type="dxa"/>
            <w:vMerge/>
            <w:hideMark/>
          </w:tcPr>
          <w:p w:rsidR="00895721" w:rsidRPr="00895721" w:rsidRDefault="00895721" w:rsidP="00895721">
            <w:pPr>
              <w:pStyle w:val="Standard"/>
              <w:jc w:val="both"/>
              <w:rPr>
                <w:rFonts w:ascii="Arial Narrow" w:hAnsi="Arial Narrow" w:cs="Arial"/>
                <w:sz w:val="18"/>
                <w:szCs w:val="18"/>
              </w:rPr>
            </w:pP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vMerge/>
            <w:hideMark/>
          </w:tcPr>
          <w:p w:rsidR="00895721" w:rsidRPr="00895721" w:rsidRDefault="00895721" w:rsidP="00895721">
            <w:pPr>
              <w:pStyle w:val="Standard"/>
              <w:jc w:val="both"/>
              <w:rPr>
                <w:rFonts w:ascii="Arial Narrow" w:hAnsi="Arial Narrow" w:cs="Arial"/>
                <w:sz w:val="18"/>
                <w:szCs w:val="18"/>
              </w:rPr>
            </w:pP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4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definizione dei criteri di partecipazione, del criterio di aggiudicazione e dei criteri di attribuzione del punteggio.</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prescrizioni del bando e delle clausole contrattuali finalizzate ad agevolare determinati concorrenti</w:t>
            </w:r>
          </w:p>
        </w:tc>
        <w:tc>
          <w:tcPr>
            <w:tcW w:w="2538"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Obbligo di motivazione nella determina a contrarre in ordine sia alla scelta della procedura sia alla scelta del sistema di affidamento adottato ovvero della tipologia contrattuale (ad esempio appalto vs. concessione).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adeguata motivazione nella determina a contrarre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5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vMerge/>
            <w:hideMark/>
          </w:tcPr>
          <w:p w:rsidR="00895721" w:rsidRPr="00895721" w:rsidRDefault="00895721" w:rsidP="00895721">
            <w:pPr>
              <w:pStyle w:val="Standard"/>
              <w:jc w:val="both"/>
              <w:rPr>
                <w:rFonts w:ascii="Arial Narrow" w:hAnsi="Arial Narrow" w:cs="Arial"/>
                <w:b/>
                <w:bCs/>
                <w:sz w:val="18"/>
                <w:szCs w:val="18"/>
              </w:rPr>
            </w:pP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definizione dei requisiti di accesso alla gara e, in particolare, dei requisiti tecnico-economici dei concorrenti al fine di favorire un’impresa</w:t>
            </w:r>
          </w:p>
        </w:tc>
        <w:tc>
          <w:tcPr>
            <w:tcW w:w="2538" w:type="dxa"/>
            <w:vMerge/>
            <w:hideMark/>
          </w:tcPr>
          <w:p w:rsidR="00895721" w:rsidRPr="00895721" w:rsidRDefault="00895721" w:rsidP="00895721">
            <w:pPr>
              <w:pStyle w:val="Standard"/>
              <w:jc w:val="both"/>
              <w:rPr>
                <w:rFonts w:ascii="Arial Narrow" w:hAnsi="Arial Narrow" w:cs="Arial"/>
                <w:sz w:val="18"/>
                <w:szCs w:val="18"/>
              </w:rPr>
            </w:pP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Attestazione adeguata motivazione nella determina a contrarre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16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Contratti e Appalti</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selezione del contraente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la pubblicazione del bando e la gestione delle informazioni complementari;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manipolazione delle disposizioni che governano i processi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Accessibilità online della documentazione di gara e/o delle informazioni complementari rese; in caso di documentazione non accessibile online, predefinizione e pubblicazione delle modalità per acquisire la documentazione e/o le informazioni complementari.</w:t>
            </w:r>
            <w:r w:rsidRPr="00895721">
              <w:rPr>
                <w:rFonts w:ascii="Arial Narrow" w:hAnsi="Arial Narrow" w:cs="Arial"/>
                <w:sz w:val="18"/>
                <w:szCs w:val="18"/>
              </w:rPr>
              <w:br/>
            </w:r>
            <w:r w:rsidRPr="00895721">
              <w:rPr>
                <w:rFonts w:ascii="Arial Narrow" w:hAnsi="Arial Narrow" w:cs="Arial"/>
                <w:sz w:val="18"/>
                <w:szCs w:val="18"/>
              </w:rPr>
              <w:br/>
              <w:t>Pubblicazione del nominativo dei soggetti cui ricorrere in caso di ingiustificato ritardo o diniego dell’accesso ai documenti di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numero di procedure attivate da una determinata amministrazione in un definito arco temporale per le quali è pervenuta una sola offerta.</w:t>
            </w:r>
            <w:r w:rsidRPr="00895721">
              <w:rPr>
                <w:rFonts w:ascii="Arial Narrow" w:hAnsi="Arial Narrow" w:cs="Arial"/>
                <w:sz w:val="18"/>
                <w:szCs w:val="18"/>
              </w:rPr>
              <w:br/>
            </w:r>
            <w:r w:rsidRPr="00895721">
              <w:rPr>
                <w:rFonts w:ascii="Arial Narrow" w:hAnsi="Arial Narrow" w:cs="Arial"/>
                <w:sz w:val="18"/>
                <w:szCs w:val="18"/>
              </w:rPr>
              <w:br/>
              <w:t xml:space="preserve"> Se, infatti, per alcune tipologia di prodotti/servizi il numero degli offerenti è mediamente molto basso la presenza di un’unica offerta ricevuta può rappresentare un indice di procedure disegnate ad hoc con la specifica finalità di favorire un determinato operatore economico.</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lastRenderedPageBreak/>
              <w:t xml:space="preserve"> Il numero di procedure con un solo offerente potrebbe essere rapportato al numero totale di procedure attivate dall’amministrazione nel periodo in esame. </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 xml:space="preserve">Può, inoltre, essere utile </w:t>
            </w:r>
            <w:r w:rsidRPr="00895721">
              <w:rPr>
                <w:rFonts w:ascii="Arial Narrow" w:hAnsi="Arial Narrow" w:cs="Arial"/>
                <w:sz w:val="18"/>
                <w:szCs w:val="18"/>
              </w:rPr>
              <w:lastRenderedPageBreak/>
              <w:t>calcolare, per ciascuna procedura attivata in un definito arco temporale, il numero medio delle offerte escluse rispetto alle offerte presentate.</w:t>
            </w:r>
          </w:p>
        </w:tc>
      </w:tr>
      <w:tr w:rsidR="00895721" w:rsidRPr="00895721" w:rsidTr="00895721">
        <w:trPr>
          <w:trHeight w:val="216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la fissazione dei termini per la ricezione delle offerte;</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azioni e comportamenti tesi a restringere indebitamente la platea dei partecipanti alla gara;</w:t>
            </w:r>
            <w:r w:rsidRPr="00895721">
              <w:rPr>
                <w:rFonts w:ascii="Arial Narrow" w:hAnsi="Arial Narrow" w:cs="Arial"/>
                <w:sz w:val="18"/>
                <w:szCs w:val="18"/>
              </w:rPr>
              <w:br/>
            </w:r>
            <w:r w:rsidRPr="00895721">
              <w:rPr>
                <w:rFonts w:ascii="Arial Narrow" w:hAnsi="Arial Narrow" w:cs="Arial"/>
                <w:sz w:val="18"/>
                <w:szCs w:val="18"/>
              </w:rPr>
              <w:br/>
              <w:t xml:space="preserve">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Predisposizione di idonei ed inalterabili sistemi di protocollazione delle offerte (ad esempio prevedendo che, in caso di consegna a mano, l’attestazione di data e ora di arrivo avvenga in presenza di più funzionari riceventi; ovvero prevedendo piattaforme informatiche di gestione della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uso p3</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8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 il trattamento e la custodia della documentazione di gara;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alterazione o sottrazione della documentazione di gara sia in fase di gara che in fase successiva di controllo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Direttive/linee guida interne per la corretta conservazione della documentazione di gara per un tempo congruo al fine di consentire verifiche successive, per la menzione nei verbali di gara delle specifiche cautele adottate a tutela dell’integrità e della conservazione delle buste contenenti l’offerta ed individuazione di appositi archivi (fisici e/o informatici).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61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la nomina della commissione di gara;</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la nomina di commissari in conflitto di interesse o privi dei necessari requisiti;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Obblighi di trasparenza/pubblicità delle nomine dei componenti delle commissioni e eventuali consulenti.</w:t>
            </w:r>
            <w:r w:rsidRPr="00895721">
              <w:rPr>
                <w:rFonts w:ascii="Arial Narrow" w:hAnsi="Arial Narrow" w:cs="Arial"/>
                <w:sz w:val="18"/>
                <w:szCs w:val="18"/>
              </w:rPr>
              <w:br/>
            </w:r>
            <w:r w:rsidRPr="00895721">
              <w:rPr>
                <w:rFonts w:ascii="Arial Narrow" w:hAnsi="Arial Narrow" w:cs="Arial"/>
                <w:sz w:val="18"/>
                <w:szCs w:val="18"/>
              </w:rPr>
              <w:br/>
              <w:t>Tenuta di albi ed elenchi di possibili componenti delle commissioni di gara suddivisi per professionalità.</w:t>
            </w:r>
            <w:r w:rsidRPr="00895721">
              <w:rPr>
                <w:rFonts w:ascii="Arial Narrow" w:hAnsi="Arial Narrow" w:cs="Arial"/>
                <w:sz w:val="18"/>
                <w:szCs w:val="18"/>
              </w:rPr>
              <w:br/>
            </w:r>
            <w:r w:rsidRPr="00895721">
              <w:rPr>
                <w:rFonts w:ascii="Arial Narrow" w:hAnsi="Arial Narrow" w:cs="Arial"/>
                <w:sz w:val="18"/>
                <w:szCs w:val="18"/>
              </w:rPr>
              <w:br/>
              <w:t>Scelta dei componenti delle commissioni, tra i soggetti in possesso dei necessari requisiti, mediante estrazione a sorte in un’ampia rosa di candidati</w:t>
            </w:r>
            <w:r w:rsidRPr="00895721">
              <w:rPr>
                <w:rFonts w:ascii="Arial Narrow" w:hAnsi="Arial Narrow" w:cs="Arial"/>
                <w:sz w:val="18"/>
                <w:szCs w:val="18"/>
              </w:rPr>
              <w:br/>
            </w:r>
            <w:r w:rsidRPr="00895721">
              <w:rPr>
                <w:rFonts w:ascii="Arial Narrow" w:hAnsi="Arial Narrow" w:cs="Arial"/>
                <w:sz w:val="18"/>
                <w:szCs w:val="18"/>
              </w:rPr>
              <w:br/>
              <w:t>Rilascio da parte dei commissari di dichiarazioni, acquisite da parte del RP, di una specifica  attestante l’insussistenza di cause di incompatibilità con l’impresa aggiudicataria della gara e con l’impresa seconda classificata, avendo riguardo anche a possibili collegamenti soggettivi e/o di parentela con i componenti dei relativi organi amministrativi e societari, con riferimento agli ultimi 5 anni.</w:t>
            </w:r>
            <w:r w:rsidRPr="00895721">
              <w:rPr>
                <w:rFonts w:ascii="Arial Narrow" w:hAnsi="Arial Narrow" w:cs="Arial"/>
                <w:sz w:val="18"/>
                <w:szCs w:val="18"/>
              </w:rPr>
              <w:br/>
            </w:r>
            <w:r w:rsidRPr="00895721">
              <w:rPr>
                <w:rFonts w:ascii="Arial Narrow" w:hAnsi="Arial Narrow" w:cs="Arial"/>
                <w:sz w:val="18"/>
                <w:szCs w:val="18"/>
              </w:rPr>
              <w:br/>
              <w:t>Pubblicazione delle modalità di scelta, dei nominativi e della qualifica professionale dei componenti delle commissioni di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  dichiarazioni/n° commissari</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43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 la gestione delle sedute di gara; la verifica dei requisiti di partecipazione;</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spacing w:after="0"/>
              <w:jc w:val="both"/>
              <w:rPr>
                <w:rFonts w:ascii="Arial Narrow" w:hAnsi="Arial Narrow" w:cs="Arial"/>
                <w:sz w:val="18"/>
                <w:szCs w:val="18"/>
              </w:rPr>
            </w:pPr>
            <w:r w:rsidRPr="00895721">
              <w:rPr>
                <w:rFonts w:ascii="Arial Narrow" w:hAnsi="Arial Narrow" w:cs="Arial"/>
                <w:sz w:val="18"/>
                <w:szCs w:val="18"/>
              </w:rPr>
              <w:t>azioni e comportamenti tesi a restringere indebitamente la platea dei partecipanti alla gara;</w:t>
            </w:r>
            <w:r w:rsidRPr="00895721">
              <w:rPr>
                <w:rFonts w:ascii="Arial Narrow" w:hAnsi="Arial Narrow" w:cs="Arial"/>
                <w:sz w:val="18"/>
                <w:szCs w:val="18"/>
              </w:rPr>
              <w:br/>
            </w:r>
            <w:r w:rsidRPr="00895721">
              <w:rPr>
                <w:rFonts w:ascii="Arial Narrow" w:hAnsi="Arial Narrow" w:cs="Arial"/>
                <w:sz w:val="18"/>
                <w:szCs w:val="18"/>
              </w:rPr>
              <w:br/>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 di controllo sul rispetto, per ciascuna gara, degli obblighi di tempestiva segnalazione all’ANAC in caso di accertata insussistenza dei requisiti di ordine generale e speciale in capo all’operatore economico</w:t>
            </w:r>
            <w:r w:rsidRPr="00895721">
              <w:rPr>
                <w:rFonts w:ascii="Arial Narrow" w:hAnsi="Arial Narrow" w:cs="Arial"/>
                <w:sz w:val="18"/>
                <w:szCs w:val="18"/>
              </w:rPr>
              <w:br/>
            </w:r>
            <w:r w:rsidRPr="00895721">
              <w:rPr>
                <w:rFonts w:ascii="Arial Narrow" w:hAnsi="Arial Narrow" w:cs="Arial"/>
                <w:sz w:val="18"/>
                <w:szCs w:val="18"/>
              </w:rPr>
              <w:br/>
              <w:t>Obbligo di menzione nei verbali di gara delle specifiche cautele adottate a tutela dell’integrità e della conservazione delle buste contenenti l'offerta.</w:t>
            </w:r>
            <w:r w:rsidRPr="00895721">
              <w:rPr>
                <w:rFonts w:ascii="Arial Narrow" w:hAnsi="Arial Narrow" w:cs="Arial"/>
                <w:sz w:val="18"/>
                <w:szCs w:val="18"/>
              </w:rPr>
              <w:br/>
            </w:r>
            <w:r w:rsidRPr="00895721">
              <w:rPr>
                <w:rFonts w:ascii="Arial Narrow" w:hAnsi="Arial Narrow" w:cs="Arial"/>
                <w:sz w:val="18"/>
                <w:szCs w:val="18"/>
              </w:rPr>
              <w:br/>
              <w:t>Individuazione di appositi archivi (fisici e/o informatici) per la custodia della documentazione.</w:t>
            </w:r>
            <w:r w:rsidRPr="00895721">
              <w:rPr>
                <w:rFonts w:ascii="Arial Narrow" w:hAnsi="Arial Narrow" w:cs="Arial"/>
                <w:sz w:val="18"/>
                <w:szCs w:val="18"/>
              </w:rPr>
              <w:br/>
            </w:r>
            <w:r w:rsidRPr="00895721">
              <w:rPr>
                <w:rFonts w:ascii="Arial Narrow" w:hAnsi="Arial Narrow" w:cs="Arial"/>
                <w:sz w:val="18"/>
                <w:szCs w:val="18"/>
              </w:rPr>
              <w:br/>
            </w:r>
            <w:r w:rsidRPr="00895721">
              <w:rPr>
                <w:rFonts w:ascii="Arial Narrow" w:hAnsi="Arial Narrow" w:cs="Arial"/>
                <w:sz w:val="18"/>
                <w:szCs w:val="18"/>
              </w:rPr>
              <w:br/>
              <w:t>Obbligo di preventiva pubblicazione online del calendario delle sedute di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61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Valutazione delle offerte, verifica di anomalia delle offerte e Aggiudicazione provvisoria;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l’applicazione distorta dei criteri di aggiudicazione della gara per manipolarne l’esito;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Introduzione di misure atte a documentare il procedimento di valutazione delle offerte anormalmente basse e di verifica della congruità dell’anomalia, specificando espressamente le motivazioni nel caso in cui, all’esito del procedimento di verifica, la stazione appaltante non abbia proceduto all’esclusione.</w:t>
            </w:r>
            <w:r w:rsidRPr="00895721">
              <w:rPr>
                <w:rFonts w:ascii="Arial Narrow" w:hAnsi="Arial Narrow" w:cs="Arial"/>
                <w:sz w:val="18"/>
                <w:szCs w:val="18"/>
              </w:rPr>
              <w:br/>
            </w:r>
            <w:r w:rsidRPr="00895721">
              <w:rPr>
                <w:rFonts w:ascii="Arial Narrow" w:hAnsi="Arial Narrow" w:cs="Arial"/>
                <w:sz w:val="18"/>
                <w:szCs w:val="18"/>
              </w:rPr>
              <w:br/>
              <w:t>Nel caso in cui si riscontri un numero significativo di offerte simili o uguali o altri elementi, adeguata formalizzazione delle verifiche espletate in ordine a situazioni di controllo/ collegamento/accordo tra i partecipanti alla gara, tali da poter determinare offerte “concordate”.</w:t>
            </w:r>
            <w:r w:rsidRPr="00895721">
              <w:rPr>
                <w:rFonts w:ascii="Arial Narrow" w:hAnsi="Arial Narrow" w:cs="Arial"/>
                <w:sz w:val="18"/>
                <w:szCs w:val="18"/>
              </w:rPr>
              <w:br/>
            </w:r>
            <w:r w:rsidRPr="00895721">
              <w:rPr>
                <w:rFonts w:ascii="Arial Narrow" w:hAnsi="Arial Narrow" w:cs="Arial"/>
                <w:sz w:val="18"/>
                <w:szCs w:val="18"/>
              </w:rPr>
              <w:br/>
              <w:t>Obbligo di segnalazione agli organi di controllo interno di gare in cui sia presentata un’unica offerta valida/credibile.</w:t>
            </w:r>
            <w:r w:rsidRPr="00895721">
              <w:rPr>
                <w:rFonts w:ascii="Arial Narrow" w:hAnsi="Arial Narrow" w:cs="Arial"/>
                <w:sz w:val="18"/>
                <w:szCs w:val="18"/>
              </w:rPr>
              <w:br/>
            </w:r>
            <w:r w:rsidRPr="00895721">
              <w:rPr>
                <w:rFonts w:ascii="Arial Narrow" w:hAnsi="Arial Narrow" w:cs="Arial"/>
                <w:sz w:val="18"/>
                <w:szCs w:val="18"/>
              </w:rPr>
              <w:br/>
              <w:t>Rafforzamento dei meccanismi di monitoraggio dei rapporti con enti/soggetti, con i quali sono stati stipulati contratti, interessati a procedimenti di autorizzazione, concessione o erogazione di vantaggi economici, ai fini della verifica di eventuali relazioni di parentela o affinità con i dipendenti dell’area.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Attestazione in sede di monitoraggio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16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Annullamento della gara;</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Ingiustificato annullamento/revoca della gara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Direttive interne che prevedano l’attivazione di verifiche di secondo livello in caso di paventato annullamento e/o revoca della gara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adozione delle direttive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8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 la gestione di elenchi o albi di operatori economici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azioni e comportamenti tesi a restringere indebitamente la platea dei partecipanti alla gara;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Audit interno sulla correttezza dei criteri di iscrizione degli operatori economici negli elenchi e negli albi al fine di accertare che consentano la massima apertura al mercato (ad esempio, verifica dell’insussistenza di limitazioni temporali per l’iscrizione) e sulla correttezza dei criteri di selezione dagli elenchi/albi al fine di garantirne l’oggettività.</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effettuazione dell’audit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5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Verifica aggiudicazione e stipula del contratto</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verifica dei requisiti ai fini della stipula del contratto</w:t>
            </w:r>
          </w:p>
        </w:tc>
        <w:tc>
          <w:tcPr>
            <w:tcW w:w="1701" w:type="dxa"/>
            <w:vMerge w:val="restart"/>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alterazione o omissione dei controlli e delle verifiche al fine di favorire un aggiudicatario privo dei requisiti o pretermettere l'aggiudicatario a favore di altro successivo in graduatoria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Direttive interne che assicurino la collegialità nella verifica dei requisiti</w:t>
            </w:r>
            <w:r w:rsidRPr="00895721">
              <w:rPr>
                <w:rFonts w:ascii="Arial Narrow" w:hAnsi="Arial Narrow" w:cs="Arial"/>
                <w:sz w:val="18"/>
                <w:szCs w:val="18"/>
              </w:rPr>
              <w:br/>
            </w:r>
            <w:r w:rsidRPr="00895721">
              <w:rPr>
                <w:rFonts w:ascii="Arial Narrow" w:hAnsi="Arial Narrow" w:cs="Arial"/>
                <w:sz w:val="18"/>
                <w:szCs w:val="18"/>
              </w:rPr>
              <w:br/>
              <w:t>Check list di controllo sul rispetto degli adempimenti previsti dal Codice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Direttiva interna</w:t>
            </w:r>
            <w:r w:rsidRPr="00895721">
              <w:rPr>
                <w:rFonts w:ascii="Arial Narrow" w:hAnsi="Arial Narrow" w:cs="Arial"/>
                <w:sz w:val="18"/>
                <w:szCs w:val="18"/>
              </w:rPr>
              <w:br/>
            </w:r>
            <w:r w:rsidRPr="00895721">
              <w:rPr>
                <w:rFonts w:ascii="Arial Narrow" w:hAnsi="Arial Narrow" w:cs="Arial"/>
                <w:sz w:val="18"/>
                <w:szCs w:val="18"/>
              </w:rPr>
              <w:br/>
              <w:t>Check list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ricorrenza delle aggiudicazioni ai medesimi operatori economici. L’indicatore può essere calcolato valutando, ad esempio, il rapporto tra il numero di operatori economici che risultano aggiudicatari in due anni contigui ed il numero totale di soggetti aggiudicatari sempre riferiti ai due anni presi in esame. Quanto maggiore è questo rapporto tanto minore sarà la diversificazione </w:t>
            </w:r>
            <w:r w:rsidRPr="00895721">
              <w:rPr>
                <w:rFonts w:ascii="Arial Narrow" w:hAnsi="Arial Narrow" w:cs="Arial"/>
                <w:sz w:val="18"/>
                <w:szCs w:val="18"/>
              </w:rPr>
              <w:lastRenderedPageBreak/>
              <w:t>delle aggiudicazioni tra più operatori economici.</w:t>
            </w: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comunicazioni riguardanti i mancati inviti</w:t>
            </w: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violazione delle regole poste a tutela della trasparenza della procedura al </w:t>
            </w:r>
            <w:r w:rsidRPr="00895721">
              <w:rPr>
                <w:rFonts w:ascii="Arial Narrow" w:hAnsi="Arial Narrow" w:cs="Arial"/>
                <w:sz w:val="18"/>
                <w:szCs w:val="18"/>
              </w:rPr>
              <w:lastRenderedPageBreak/>
              <w:t>fine di evitare o ritardare la proposizione di ricorsi da parte di soggetti esclusi o non aggiudicatari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lastRenderedPageBreak/>
              <w:t>Check list di controllo sul rispetto delle formalità di comunicazione previste dal Codice.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Avvenuta adozione della check list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92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aggiudicazioni</w:t>
            </w: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Pubblicazione sul sito internet della amministrazione, per estratto, dei punteggi attribuiti agli offerenti all’esito dell’aggiudicazione definitiva.</w:t>
            </w:r>
            <w:r w:rsidRPr="00895721">
              <w:rPr>
                <w:rFonts w:ascii="Arial Narrow" w:hAnsi="Arial Narrow" w:cs="Arial"/>
                <w:sz w:val="18"/>
                <w:szCs w:val="18"/>
              </w:rPr>
              <w:br/>
            </w:r>
            <w:r w:rsidRPr="00895721">
              <w:rPr>
                <w:rFonts w:ascii="Arial Narrow" w:hAnsi="Arial Narrow" w:cs="Arial"/>
                <w:sz w:val="18"/>
                <w:szCs w:val="18"/>
              </w:rPr>
              <w:br/>
              <w:t>Introduzione di un termine tempestivo di pubblicazione dei risultati della procedura di aggiudicazione.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pubblicazione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764"/>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noWrap/>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Stipula del contratto</w:t>
            </w:r>
          </w:p>
        </w:tc>
        <w:tc>
          <w:tcPr>
            <w:tcW w:w="1701" w:type="dxa"/>
            <w:vMerge/>
            <w:hideMark/>
          </w:tcPr>
          <w:p w:rsidR="00895721" w:rsidRPr="00895721" w:rsidRDefault="00895721" w:rsidP="00895721">
            <w:pPr>
              <w:pStyle w:val="Standard"/>
              <w:jc w:val="center"/>
              <w:rPr>
                <w:rFonts w:ascii="Arial Narrow" w:hAnsi="Arial Narrow" w:cs="Arial"/>
                <w:b/>
                <w:bCs/>
                <w:sz w:val="18"/>
                <w:szCs w:val="18"/>
              </w:rPr>
            </w:pPr>
          </w:p>
        </w:tc>
        <w:tc>
          <w:tcPr>
            <w:tcW w:w="1560" w:type="dxa"/>
            <w:vMerge/>
            <w:hideMark/>
          </w:tcPr>
          <w:p w:rsidR="00895721" w:rsidRPr="00895721" w:rsidRDefault="00895721" w:rsidP="00895721">
            <w:pPr>
              <w:pStyle w:val="Standard"/>
              <w:jc w:val="both"/>
              <w:rPr>
                <w:rFonts w:ascii="Arial Narrow" w:hAnsi="Arial Narrow" w:cs="Arial"/>
                <w:sz w:val="18"/>
                <w:szCs w:val="18"/>
              </w:rPr>
            </w:pPr>
          </w:p>
        </w:tc>
        <w:tc>
          <w:tcPr>
            <w:tcW w:w="2538" w:type="dxa"/>
            <w:vMerge/>
            <w:hideMark/>
          </w:tcPr>
          <w:p w:rsidR="00895721" w:rsidRPr="00895721" w:rsidRDefault="00895721" w:rsidP="00895721">
            <w:pPr>
              <w:pStyle w:val="Standard"/>
              <w:jc w:val="both"/>
              <w:rPr>
                <w:rFonts w:ascii="Arial Narrow" w:hAnsi="Arial Narrow" w:cs="Arial"/>
                <w:sz w:val="18"/>
                <w:szCs w:val="18"/>
              </w:rPr>
            </w:pP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vMerge/>
            <w:hideMark/>
          </w:tcPr>
          <w:p w:rsidR="00895721" w:rsidRPr="00895721" w:rsidRDefault="00895721" w:rsidP="00895721">
            <w:pPr>
              <w:pStyle w:val="Standard"/>
              <w:jc w:val="both"/>
              <w:rPr>
                <w:rFonts w:ascii="Arial Narrow" w:hAnsi="Arial Narrow" w:cs="Arial"/>
                <w:sz w:val="18"/>
                <w:szCs w:val="18"/>
              </w:rPr>
            </w:pP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94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Tecnica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esecuzione del contratto</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approvazione delle modifiche del contratto originario;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alterazione successiva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Pubblicazione, contestualmente alla loro approvazione e almeno per tutta la durata del contratto, dei provvedimenti di modifica del contratto originario.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Numero di affidamenti con almeno una variante rispetto al numero totale degli affidamenti effettuati da una medesima amministrazione in un determinato arco temporale.</w:t>
            </w:r>
            <w:r w:rsidRPr="00895721">
              <w:rPr>
                <w:rFonts w:ascii="Arial Narrow" w:hAnsi="Arial Narrow" w:cs="Arial"/>
                <w:sz w:val="18"/>
                <w:szCs w:val="18"/>
              </w:rPr>
              <w:br/>
            </w:r>
            <w:r w:rsidRPr="00895721">
              <w:rPr>
                <w:rFonts w:ascii="Arial Narrow" w:hAnsi="Arial Narrow" w:cs="Arial"/>
                <w:sz w:val="18"/>
                <w:szCs w:val="18"/>
              </w:rPr>
              <w:br/>
              <w:t xml:space="preserve">Sebbene le varianti siano consentite nei casi espressamente previsti dalla norma, la presenza di un elevato numero di contratti aggiudicati e poi modificati per effetto di varianti dovrà essere attentamente analizzata, verificando le cause che </w:t>
            </w:r>
            <w:r w:rsidRPr="00895721">
              <w:rPr>
                <w:rFonts w:ascii="Arial Narrow" w:hAnsi="Arial Narrow" w:cs="Arial"/>
                <w:sz w:val="18"/>
                <w:szCs w:val="18"/>
              </w:rPr>
              <w:lastRenderedPageBreak/>
              <w:t>hanno dato luogo alla necessità di modificare il contratto iniziale.</w:t>
            </w:r>
            <w:r w:rsidRPr="00895721">
              <w:rPr>
                <w:rFonts w:ascii="Arial Narrow" w:hAnsi="Arial Narrow" w:cs="Arial"/>
                <w:sz w:val="18"/>
                <w:szCs w:val="18"/>
              </w:rPr>
              <w:br/>
            </w:r>
            <w:r w:rsidRPr="00895721">
              <w:rPr>
                <w:rFonts w:ascii="Arial Narrow" w:hAnsi="Arial Narrow" w:cs="Arial"/>
                <w:sz w:val="18"/>
                <w:szCs w:val="18"/>
              </w:rPr>
              <w:br/>
              <w:t xml:space="preserve">Rapporto, relativamente ad un predeterminato arco temporale, tra il numero di affidamenti interessati da proroghe ed il numero complessivo di affidamenti. </w:t>
            </w:r>
            <w:r w:rsidRPr="00895721">
              <w:rPr>
                <w:rFonts w:ascii="Arial Narrow" w:hAnsi="Arial Narrow" w:cs="Arial"/>
                <w:sz w:val="18"/>
                <w:szCs w:val="18"/>
              </w:rPr>
              <w:br/>
            </w:r>
            <w:r w:rsidRPr="00895721">
              <w:rPr>
                <w:rFonts w:ascii="Arial Narrow" w:hAnsi="Arial Narrow" w:cs="Arial"/>
                <w:sz w:val="18"/>
                <w:szCs w:val="18"/>
              </w:rPr>
              <w:br/>
              <w:t xml:space="preserve">Fermo restando che le proroghe non sono consentite dalla norma, in alcuni casi le amministrazioni prorogano i contratti per brevi lassi di tempo al fine di garantire la continuità delle prestazioni in attesa di nuove aggiudicazioni o della possibilità di adesione ad accordi quadro. </w:t>
            </w:r>
            <w:r w:rsidRPr="00895721">
              <w:rPr>
                <w:rFonts w:ascii="Arial Narrow" w:hAnsi="Arial Narrow" w:cs="Arial"/>
                <w:sz w:val="18"/>
                <w:szCs w:val="18"/>
              </w:rPr>
              <w:br/>
            </w:r>
            <w:r w:rsidRPr="00895721">
              <w:rPr>
                <w:rFonts w:ascii="Arial Narrow" w:hAnsi="Arial Narrow" w:cs="Arial"/>
                <w:sz w:val="18"/>
                <w:szCs w:val="18"/>
              </w:rPr>
              <w:br/>
              <w:t xml:space="preserve">Alla luce dell’eccezionalità della proroga, un indicatore che evidenzi un elevato numero di contratti prorogati dovrà necessariamente condurre ad </w:t>
            </w:r>
            <w:r w:rsidRPr="00895721">
              <w:rPr>
                <w:rFonts w:ascii="Arial Narrow" w:hAnsi="Arial Narrow" w:cs="Arial"/>
                <w:sz w:val="18"/>
                <w:szCs w:val="18"/>
              </w:rPr>
              <w:lastRenderedPageBreak/>
              <w:t>approfondite analisi sulle effettive ragioni della proroga nonché sui tempi di proroga.</w:t>
            </w: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autorizzazione al subappalto;</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elusione prescrizioni di legge per mancato conteggio della manodopera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ove si tratti di società schermate da persone giuridiche estere o fiduciarie, obbligo di effettuare adeguate verifiche per identificare il titolare effettivo dell’impresa subappaltatrice in sede di autorizzazione del subappalto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Avvenuta effettuazione delle verifiche </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8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 ammissione delle varianti;</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abusivo ricorso alle varianti al fine di favorire l’appaltatore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previsione di una certificazione con valore interno, da inviarsi al RPC da parte del RP, che espliciti l’istruttoria interna condotta sulla legittimità della variante e sugli impatti economici e contrattuali della stessa</w:t>
            </w:r>
            <w:r w:rsidRPr="00895721">
              <w:rPr>
                <w:rFonts w:ascii="Arial Narrow" w:hAnsi="Arial Narrow" w:cs="Arial"/>
                <w:sz w:val="18"/>
                <w:szCs w:val="18"/>
              </w:rPr>
              <w:br/>
            </w:r>
            <w:r w:rsidRPr="00895721">
              <w:rPr>
                <w:rFonts w:ascii="Arial Narrow" w:hAnsi="Arial Narrow" w:cs="Arial"/>
                <w:sz w:val="18"/>
                <w:szCs w:val="18"/>
              </w:rPr>
              <w:br/>
              <w:t>Verifica del corretto assolvimento dell’obbligo di trasmissione all’ANAC delle varianti</w:t>
            </w:r>
            <w:r w:rsidRPr="00895721">
              <w:rPr>
                <w:rFonts w:ascii="Arial Narrow" w:hAnsi="Arial Narrow" w:cs="Arial"/>
                <w:sz w:val="18"/>
                <w:szCs w:val="18"/>
              </w:rPr>
              <w:br/>
            </w:r>
            <w:r w:rsidRPr="00895721">
              <w:rPr>
                <w:rFonts w:ascii="Arial Narrow" w:hAnsi="Arial Narrow" w:cs="Arial"/>
                <w:sz w:val="18"/>
                <w:szCs w:val="18"/>
              </w:rPr>
              <w:br/>
              <w:t>Pubblicazione, contestualmente alla loro adozione e almeno per tutta la durata del contratto, dei provvedimenti di adozione delle varianti.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360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verifiche in corso di esecuzione;</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mancata o insufficiente verifica dell’effettivo stato avanzamento lavori rispetto al cronoprogramma al fine di evitare l’applicazione di penali o la risoluzione del contratto</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 relativa alla verifica dei tempi di esecuzione, da effettuarsi con cadenza prestabilita e trasmettersi al RPC e agli uffici di controllo interno al fine di attivare specifiche misure di intervento in caso di eccessivo allungamento dei tempi rispetto al cronoprogramma</w:t>
            </w:r>
            <w:r w:rsidRPr="00895721">
              <w:rPr>
                <w:rFonts w:ascii="Arial Narrow" w:hAnsi="Arial Narrow" w:cs="Arial"/>
                <w:sz w:val="18"/>
                <w:szCs w:val="18"/>
              </w:rPr>
              <w:br/>
            </w:r>
            <w:r w:rsidRPr="00895721">
              <w:rPr>
                <w:rFonts w:ascii="Arial Narrow" w:hAnsi="Arial Narrow" w:cs="Arial"/>
                <w:sz w:val="18"/>
                <w:szCs w:val="18"/>
              </w:rPr>
              <w:br/>
              <w:t>Controllo sull’applicazione di eventuali penali per il ritardo.</w:t>
            </w:r>
            <w:r w:rsidRPr="00895721">
              <w:rPr>
                <w:rFonts w:ascii="Arial Narrow" w:hAnsi="Arial Narrow" w:cs="Arial"/>
                <w:sz w:val="18"/>
                <w:szCs w:val="18"/>
              </w:rPr>
              <w:br/>
            </w:r>
            <w:r w:rsidRPr="00895721">
              <w:rPr>
                <w:rFonts w:ascii="Arial Narrow" w:hAnsi="Arial Narrow" w:cs="Arial"/>
                <w:sz w:val="18"/>
                <w:szCs w:val="18"/>
              </w:rPr>
              <w:br/>
              <w:t>Per opere di importo rilevante, pubblicazione online di rapporti periodici che sintetizzino, in modo chiaro ed intellegibile, l’andamento del contratto rispetto a tempi, costi e modalità preventivate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Check list</w:t>
            </w:r>
            <w:r w:rsidRPr="00895721">
              <w:rPr>
                <w:rFonts w:ascii="Arial Narrow" w:hAnsi="Arial Narrow" w:cs="Arial"/>
                <w:sz w:val="18"/>
                <w:szCs w:val="18"/>
              </w:rPr>
              <w:br/>
            </w:r>
            <w:r w:rsidRPr="00895721">
              <w:rPr>
                <w:rFonts w:ascii="Arial Narrow" w:hAnsi="Arial Narrow" w:cs="Arial"/>
                <w:sz w:val="18"/>
                <w:szCs w:val="18"/>
              </w:rPr>
              <w:br/>
              <w:t>Monitoraggio semestrale</w:t>
            </w:r>
            <w:r w:rsidRPr="00895721">
              <w:rPr>
                <w:rFonts w:ascii="Arial Narrow" w:hAnsi="Arial Narrow" w:cs="Arial"/>
                <w:sz w:val="18"/>
                <w:szCs w:val="18"/>
              </w:rPr>
              <w:br/>
            </w:r>
            <w:r w:rsidRPr="00895721">
              <w:rPr>
                <w:rFonts w:ascii="Arial Narrow" w:hAnsi="Arial Narrow" w:cs="Arial"/>
                <w:sz w:val="18"/>
                <w:szCs w:val="18"/>
              </w:rPr>
              <w:br/>
              <w:t>N° rapporti pubblicati/ n° opere di importo rilevante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Sicurezza sul lavoro</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6</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alterazione successiva della concorrenza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verifica delle disposizioni in materia di sicurezza con particolare riferimento al rispetto delle prescrizioni contenute nel Piano di Sicurezza e Coordinamento (PSC) o Documento Unico di Valutazione dei Rischi Interferenziali (DUVRI); </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72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apposizione di riserve;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6</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lievitazione fraudolenta dei costi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Verificare il rispetto puntuale del divieto di ammettere riserve oltre l'importo consentito dalla legge</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 xml:space="preserve">gestione delle controversie; </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risoluzione delle controversie con arbitrati per favorire fraudolentemente l'esecutore </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pubblicazione degli accordi bonari e delle transazioni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0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effettuazione di pagamenti in corso di esecuzione.</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2</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riciclo di denaro di dubbia provenienza/evasione fiscale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Verificare il pieno rispetto delle norme sulla tracciabilità finanziaria</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1800"/>
        </w:trPr>
        <w:tc>
          <w:tcPr>
            <w:tcW w:w="937"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Area Tecnica</w:t>
            </w:r>
          </w:p>
        </w:tc>
        <w:tc>
          <w:tcPr>
            <w:tcW w:w="1185" w:type="dxa"/>
            <w:vMerge w:val="restart"/>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rendicontazione</w:t>
            </w: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nomina del collaudatore (o della commissione di collaudo)</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incarico di collaudo a soggetti compiacenti</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Predisposizione e pubblicazione di elenchi aperti di soggetti in possesso dei requisiti per la nomina dei collaudatori, da selezionare di volta in volta tramite sorteggio</w:t>
            </w:r>
            <w:r w:rsidRPr="00895721">
              <w:rPr>
                <w:rFonts w:ascii="Arial Narrow" w:hAnsi="Arial Narrow" w:cs="Arial"/>
                <w:sz w:val="18"/>
                <w:szCs w:val="18"/>
              </w:rPr>
              <w:br/>
            </w:r>
            <w:r w:rsidRPr="00895721">
              <w:rPr>
                <w:rFonts w:ascii="Arial Narrow" w:hAnsi="Arial Narrow" w:cs="Arial"/>
                <w:sz w:val="18"/>
                <w:szCs w:val="18"/>
              </w:rPr>
              <w:br/>
              <w:t>Pubblicazione delle modalità di scelta, dei nominativi e della qualifica professionale dei componenti delle commissioni di collaudo.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linea guida</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val="restart"/>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 xml:space="preserve">Scostamento medio dei costi può essere calcolato rapportando gli scostamenti di costo di ogni singolo contratto con il numero complessivo dei contratti conclusi. Per il calcolo dello scostamento di costo di ciascun contratto sarà </w:t>
            </w:r>
            <w:r w:rsidRPr="00895721">
              <w:rPr>
                <w:rFonts w:ascii="Arial Narrow" w:hAnsi="Arial Narrow" w:cs="Arial"/>
                <w:sz w:val="18"/>
                <w:szCs w:val="18"/>
              </w:rPr>
              <w:lastRenderedPageBreak/>
              <w:t>necessario fare la differenza tra il valore finale dell’affidamento risultante dagli atti del collaudo ed il relativo valore iniziale e rapportarla poi al valore iniziale.</w:t>
            </w:r>
            <w:r w:rsidRPr="00895721">
              <w:rPr>
                <w:rFonts w:ascii="Arial Narrow" w:hAnsi="Arial Narrow" w:cs="Arial"/>
                <w:sz w:val="18"/>
                <w:szCs w:val="18"/>
              </w:rPr>
              <w:br/>
              <w:t xml:space="preserve">Tempi medi di esecuzione degli affidamenti: rapportare gli scostamenti di tempo di ogni singolo contratto con il numero complessivo dei contratti conclusi. Differenza tra il tempo effettivamente impiegato per la conclusione del contratto ed il relativo tempo previsto da progetto e rapportarla al tempo di conclusione inizialmente previsto. </w:t>
            </w:r>
          </w:p>
        </w:tc>
      </w:tr>
      <w:tr w:rsidR="00895721" w:rsidRPr="00895721" w:rsidTr="00895721">
        <w:trPr>
          <w:trHeight w:val="378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verifica della corretta esecuzione, per il rilascio del certificato di collaudo, del certificato di verifica di conformità ovvero dell’attestato di regolare esecuzione</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alterazioni o omissioni di attività di controllo,</w:t>
            </w:r>
            <w:r w:rsidRPr="00895721">
              <w:rPr>
                <w:rFonts w:ascii="Arial Narrow" w:hAnsi="Arial Narrow" w:cs="Arial"/>
                <w:sz w:val="18"/>
                <w:szCs w:val="18"/>
              </w:rPr>
              <w:br/>
            </w:r>
            <w:r w:rsidRPr="00895721">
              <w:rPr>
                <w:rFonts w:ascii="Arial Narrow" w:hAnsi="Arial Narrow" w:cs="Arial"/>
                <w:sz w:val="18"/>
                <w:szCs w:val="18"/>
              </w:rPr>
              <w:br/>
              <w:t>rilascio del certificato di regolare esecuzione in cambio di vantaggi economici</w:t>
            </w:r>
            <w:r w:rsidRPr="00895721">
              <w:rPr>
                <w:rFonts w:ascii="Arial Narrow" w:hAnsi="Arial Narrow" w:cs="Arial"/>
                <w:sz w:val="18"/>
                <w:szCs w:val="18"/>
              </w:rPr>
              <w:br/>
            </w:r>
            <w:r w:rsidRPr="00895721">
              <w:rPr>
                <w:rFonts w:ascii="Arial Narrow" w:hAnsi="Arial Narrow" w:cs="Arial"/>
                <w:sz w:val="18"/>
                <w:szCs w:val="18"/>
              </w:rPr>
              <w:br/>
              <w:t>mancata denuncia di difformità e vizi dell’opera.</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report periodico (ad esempio semestrale), da parte dell’ufficio contratti, al fine di rendicontare agli uffici di controllo interno di gestione le procedure di gara espletate</w:t>
            </w:r>
            <w:r w:rsidRPr="00895721">
              <w:rPr>
                <w:rFonts w:ascii="Arial Narrow" w:hAnsi="Arial Narrow" w:cs="Arial"/>
                <w:sz w:val="18"/>
                <w:szCs w:val="18"/>
              </w:rPr>
              <w:br/>
            </w:r>
            <w:r w:rsidRPr="00895721">
              <w:rPr>
                <w:rFonts w:ascii="Arial Narrow" w:hAnsi="Arial Narrow" w:cs="Arial"/>
                <w:sz w:val="18"/>
                <w:szCs w:val="18"/>
              </w:rPr>
              <w:br/>
              <w:t>Per procedure negoziate/affidamenti diretti, pubblicazione di report periodici da parte dell’Ufficio acquisti</w:t>
            </w:r>
            <w:r w:rsidRPr="00895721">
              <w:rPr>
                <w:rFonts w:ascii="Arial Narrow" w:hAnsi="Arial Narrow" w:cs="Arial"/>
                <w:sz w:val="18"/>
                <w:szCs w:val="18"/>
              </w:rPr>
              <w:br/>
            </w:r>
            <w:r w:rsidRPr="00895721">
              <w:rPr>
                <w:rFonts w:ascii="Arial Narrow" w:hAnsi="Arial Narrow" w:cs="Arial"/>
                <w:sz w:val="18"/>
                <w:szCs w:val="18"/>
              </w:rPr>
              <w:br/>
              <w:t>Pubblicazione del report periodico sulle procedure di gara espletate sul sito</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2018</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Trasmissione report al RPCT</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r w:rsidR="00895721" w:rsidRPr="00895721" w:rsidTr="00895721">
        <w:trPr>
          <w:trHeight w:val="2940"/>
        </w:trPr>
        <w:tc>
          <w:tcPr>
            <w:tcW w:w="937" w:type="dxa"/>
            <w:vMerge/>
            <w:hideMark/>
          </w:tcPr>
          <w:p w:rsidR="00895721" w:rsidRPr="00895721" w:rsidRDefault="00895721" w:rsidP="00895721">
            <w:pPr>
              <w:pStyle w:val="Standard"/>
              <w:jc w:val="both"/>
              <w:rPr>
                <w:rFonts w:ascii="Arial Narrow" w:hAnsi="Arial Narrow" w:cs="Arial"/>
                <w:b/>
                <w:bCs/>
                <w:sz w:val="18"/>
                <w:szCs w:val="18"/>
              </w:rPr>
            </w:pPr>
          </w:p>
        </w:tc>
        <w:tc>
          <w:tcPr>
            <w:tcW w:w="1185" w:type="dxa"/>
            <w:vMerge/>
            <w:hideMark/>
          </w:tcPr>
          <w:p w:rsidR="00895721" w:rsidRPr="00895721" w:rsidRDefault="00895721" w:rsidP="00895721">
            <w:pPr>
              <w:pStyle w:val="Standard"/>
              <w:jc w:val="both"/>
              <w:rPr>
                <w:rFonts w:ascii="Arial Narrow" w:hAnsi="Arial Narrow" w:cs="Arial"/>
                <w:b/>
                <w:bCs/>
                <w:sz w:val="18"/>
                <w:szCs w:val="18"/>
              </w:rPr>
            </w:pPr>
          </w:p>
        </w:tc>
        <w:tc>
          <w:tcPr>
            <w:tcW w:w="1842" w:type="dxa"/>
            <w:hideMark/>
          </w:tcPr>
          <w:p w:rsidR="00895721" w:rsidRPr="00895721" w:rsidRDefault="00895721" w:rsidP="00895721">
            <w:pPr>
              <w:pStyle w:val="Standard"/>
              <w:jc w:val="both"/>
              <w:rPr>
                <w:rFonts w:ascii="Arial Narrow" w:hAnsi="Arial Narrow" w:cs="Arial"/>
                <w:b/>
                <w:bCs/>
                <w:sz w:val="18"/>
                <w:szCs w:val="18"/>
              </w:rPr>
            </w:pPr>
            <w:r w:rsidRPr="00895721">
              <w:rPr>
                <w:rFonts w:ascii="Arial Narrow" w:hAnsi="Arial Narrow" w:cs="Arial"/>
                <w:b/>
                <w:bCs/>
                <w:sz w:val="18"/>
                <w:szCs w:val="18"/>
              </w:rPr>
              <w:t>rendicontazione dei lavori in economia</w:t>
            </w:r>
          </w:p>
        </w:tc>
        <w:tc>
          <w:tcPr>
            <w:tcW w:w="1701" w:type="dxa"/>
            <w:hideMark/>
          </w:tcPr>
          <w:p w:rsidR="00895721" w:rsidRPr="00895721" w:rsidRDefault="00895721" w:rsidP="00895721">
            <w:pPr>
              <w:pStyle w:val="Standard"/>
              <w:jc w:val="center"/>
              <w:rPr>
                <w:rFonts w:ascii="Arial Narrow" w:hAnsi="Arial Narrow" w:cs="Arial"/>
                <w:b/>
                <w:bCs/>
                <w:sz w:val="18"/>
                <w:szCs w:val="18"/>
              </w:rPr>
            </w:pPr>
            <w:r w:rsidRPr="00895721">
              <w:rPr>
                <w:rFonts w:ascii="Arial Narrow" w:hAnsi="Arial Narrow" w:cs="Arial"/>
                <w:b/>
                <w:bCs/>
                <w:sz w:val="18"/>
                <w:szCs w:val="18"/>
              </w:rPr>
              <w:t>3</w:t>
            </w:r>
          </w:p>
        </w:tc>
        <w:tc>
          <w:tcPr>
            <w:tcW w:w="1560"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riciclo di denaro di dubbia provenienza/evasione fiscale</w:t>
            </w:r>
          </w:p>
        </w:tc>
        <w:tc>
          <w:tcPr>
            <w:tcW w:w="2538"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Verificare che non si effettuino pagamenti ingiustificati o sottratti alla tracciabilità dei flussi finanziari</w:t>
            </w:r>
          </w:p>
        </w:tc>
        <w:tc>
          <w:tcPr>
            <w:tcW w:w="1005" w:type="dxa"/>
            <w:hideMark/>
          </w:tcPr>
          <w:p w:rsidR="00895721" w:rsidRPr="00895721" w:rsidRDefault="00895721" w:rsidP="00895721">
            <w:pPr>
              <w:pStyle w:val="Standard"/>
              <w:jc w:val="center"/>
              <w:rPr>
                <w:rFonts w:ascii="Arial Narrow" w:hAnsi="Arial Narrow" w:cs="Arial"/>
                <w:sz w:val="18"/>
                <w:szCs w:val="18"/>
              </w:rPr>
            </w:pPr>
            <w:r w:rsidRPr="00895721">
              <w:rPr>
                <w:rFonts w:ascii="Arial Narrow" w:hAnsi="Arial Narrow" w:cs="Arial"/>
                <w:sz w:val="18"/>
                <w:szCs w:val="18"/>
              </w:rPr>
              <w:t>in atto</w:t>
            </w:r>
          </w:p>
        </w:tc>
        <w:tc>
          <w:tcPr>
            <w:tcW w:w="994"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monitoraggio semestrale</w:t>
            </w:r>
          </w:p>
        </w:tc>
        <w:tc>
          <w:tcPr>
            <w:tcW w:w="1133" w:type="dxa"/>
            <w:hideMark/>
          </w:tcPr>
          <w:p w:rsidR="00895721" w:rsidRPr="00895721" w:rsidRDefault="00895721" w:rsidP="00895721">
            <w:pPr>
              <w:pStyle w:val="Standard"/>
              <w:jc w:val="both"/>
              <w:rPr>
                <w:rFonts w:ascii="Arial Narrow" w:hAnsi="Arial Narrow" w:cs="Arial"/>
                <w:sz w:val="18"/>
                <w:szCs w:val="18"/>
              </w:rPr>
            </w:pPr>
            <w:r w:rsidRPr="00895721">
              <w:rPr>
                <w:rFonts w:ascii="Arial Narrow" w:hAnsi="Arial Narrow" w:cs="Arial"/>
                <w:sz w:val="18"/>
                <w:szCs w:val="18"/>
              </w:rPr>
              <w:t>Segretario</w:t>
            </w:r>
            <w:r w:rsidRPr="00895721">
              <w:rPr>
                <w:rFonts w:ascii="Arial Narrow" w:hAnsi="Arial Narrow" w:cs="Arial"/>
                <w:sz w:val="18"/>
                <w:szCs w:val="18"/>
              </w:rPr>
              <w:br/>
              <w:t>comunale</w:t>
            </w:r>
          </w:p>
        </w:tc>
        <w:tc>
          <w:tcPr>
            <w:tcW w:w="1842" w:type="dxa"/>
            <w:vMerge/>
            <w:hideMark/>
          </w:tcPr>
          <w:p w:rsidR="00895721" w:rsidRPr="00895721" w:rsidRDefault="00895721" w:rsidP="00895721">
            <w:pPr>
              <w:pStyle w:val="Standard"/>
              <w:jc w:val="both"/>
              <w:rPr>
                <w:rFonts w:ascii="Arial Narrow" w:hAnsi="Arial Narrow" w:cs="Arial"/>
                <w:sz w:val="18"/>
                <w:szCs w:val="18"/>
              </w:rPr>
            </w:pPr>
          </w:p>
        </w:tc>
      </w:tr>
    </w:tbl>
    <w:p w:rsidR="007A5A9B" w:rsidRPr="009C1EBA" w:rsidRDefault="007A5A9B" w:rsidP="007A5A9B">
      <w:pPr>
        <w:pStyle w:val="Standard"/>
        <w:widowControl w:val="0"/>
        <w:spacing w:after="0" w:line="240" w:lineRule="auto"/>
        <w:jc w:val="both"/>
        <w:rPr>
          <w:rFonts w:ascii="Arial" w:hAnsi="Arial" w:cs="Arial"/>
          <w:sz w:val="21"/>
          <w:szCs w:val="21"/>
          <w:lang w:bidi="hi-IN"/>
        </w:rPr>
      </w:pPr>
    </w:p>
    <w:p w:rsidR="007A5A9B" w:rsidRPr="009C1EBA" w:rsidRDefault="007A5A9B" w:rsidP="007A5A9B">
      <w:pPr>
        <w:pStyle w:val="Standard"/>
        <w:widowControl w:val="0"/>
        <w:spacing w:after="0" w:line="240" w:lineRule="auto"/>
        <w:jc w:val="both"/>
      </w:pPr>
    </w:p>
    <w:sectPr w:rsidR="007A5A9B" w:rsidRPr="009C1EBA" w:rsidSect="00895721">
      <w:pgSz w:w="16838" w:h="11906" w:orient="landscape"/>
      <w:pgMar w:top="1134" w:right="1417" w:bottom="1134" w:left="1134" w:header="720" w:footer="89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DF5" w:rsidRDefault="003E5DF5">
      <w:r>
        <w:separator/>
      </w:r>
    </w:p>
  </w:endnote>
  <w:endnote w:type="continuationSeparator" w:id="0">
    <w:p w:rsidR="003E5DF5" w:rsidRDefault="003E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charset w:val="02"/>
    <w:family w:val="auto"/>
    <w:pitch w:val="default"/>
  </w:font>
  <w:font w:name="OpenSymbol">
    <w:charset w:val="00"/>
    <w:family w:val="auto"/>
    <w:pitch w:val="variable"/>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s Serif">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799" w:rsidRDefault="00BA2799">
    <w:pPr>
      <w:pStyle w:val="Pidipagina"/>
      <w:jc w:val="right"/>
    </w:pPr>
    <w:r>
      <w:fldChar w:fldCharType="begin"/>
    </w:r>
    <w:r>
      <w:instrText xml:space="preserve"> PAGE </w:instrText>
    </w:r>
    <w:r>
      <w:fldChar w:fldCharType="separate"/>
    </w:r>
    <w:r w:rsidR="00BF0B20">
      <w:rPr>
        <w:noProof/>
      </w:rPr>
      <w:t>70</w:t>
    </w:r>
    <w:r>
      <w:fldChar w:fldCharType="end"/>
    </w:r>
  </w:p>
  <w:p w:rsidR="00BA2799" w:rsidRDefault="00BA279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DF5" w:rsidRDefault="003E5DF5">
      <w:r>
        <w:rPr>
          <w:color w:val="000000"/>
        </w:rPr>
        <w:separator/>
      </w:r>
    </w:p>
  </w:footnote>
  <w:footnote w:type="continuationSeparator" w:id="0">
    <w:p w:rsidR="003E5DF5" w:rsidRDefault="003E5DF5">
      <w:r>
        <w:continuationSeparator/>
      </w:r>
    </w:p>
  </w:footnote>
  <w:footnote w:id="1">
    <w:p w:rsidR="00BA2799" w:rsidRDefault="00BA2799">
      <w:pPr>
        <w:pStyle w:val="Footnote"/>
      </w:pPr>
      <w:r>
        <w:rPr>
          <w:rStyle w:val="Rimandonotaapidipagina"/>
        </w:rPr>
        <w:footnoteRef/>
      </w:r>
      <w:r>
        <w:rPr>
          <w:rFonts w:cs="Calibri"/>
        </w:rPr>
        <w:t xml:space="preserve"> </w:t>
      </w:r>
      <w:r>
        <w:t>Transcrime è il centro di ricerca interuniversitario sulla criminalità transnazionale dell’Università Cattolica del Sacro Cuore di Milano e dell’Università degli Studi di Trento diretto da Ernesto Ugo Savona.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799" w:rsidRDefault="00BA279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42"/>
    <w:lvl w:ilvl="0">
      <w:start w:val="1"/>
      <w:numFmt w:val="decimal"/>
      <w:lvlText w:val="%1."/>
      <w:lvlJc w:val="left"/>
      <w:pPr>
        <w:tabs>
          <w:tab w:val="num" w:pos="0"/>
        </w:tabs>
        <w:ind w:left="705" w:hanging="705"/>
      </w:pPr>
      <w:rPr>
        <w:rFonts w:hint="default"/>
      </w:rPr>
    </w:lvl>
  </w:abstractNum>
  <w:abstractNum w:abstractNumId="1" w15:restartNumberingAfterBreak="0">
    <w:nsid w:val="02A05433"/>
    <w:multiLevelType w:val="multilevel"/>
    <w:tmpl w:val="C4847374"/>
    <w:styleLink w:val="WW8Num13"/>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6797933"/>
    <w:multiLevelType w:val="multilevel"/>
    <w:tmpl w:val="BEE04B8E"/>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AF04932"/>
    <w:multiLevelType w:val="multilevel"/>
    <w:tmpl w:val="A9C8EEE4"/>
    <w:styleLink w:val="WW8Num6"/>
    <w:lvl w:ilvl="0">
      <w:numFmt w:val="bullet"/>
      <w:lvlText w:val=""/>
      <w:lvlJc w:val="left"/>
      <w:pPr>
        <w:ind w:left="1069" w:hanging="360"/>
      </w:pPr>
      <w:rPr>
        <w:rFonts w:ascii="Wingdings" w:hAnsi="Wingdings" w:cs="Wingdings"/>
        <w:sz w:val="21"/>
        <w:szCs w:val="21"/>
      </w:rPr>
    </w:lvl>
    <w:lvl w:ilvl="1">
      <w:numFmt w:val="bullet"/>
      <w:lvlText w:val=""/>
      <w:lvlJc w:val="left"/>
      <w:pPr>
        <w:ind w:left="1429" w:hanging="360"/>
      </w:pPr>
      <w:rPr>
        <w:rFonts w:ascii="Wingdings" w:hAnsi="Wingdings" w:cs="Wingdings"/>
        <w:sz w:val="21"/>
        <w:szCs w:val="21"/>
      </w:rPr>
    </w:lvl>
    <w:lvl w:ilvl="2">
      <w:numFmt w:val="bullet"/>
      <w:lvlText w:val=""/>
      <w:lvlJc w:val="left"/>
      <w:pPr>
        <w:ind w:left="1789" w:hanging="360"/>
      </w:pPr>
      <w:rPr>
        <w:rFonts w:ascii="Wingdings" w:hAnsi="Wingdings" w:cs="Wingdings"/>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sz w:val="21"/>
        <w:szCs w:val="21"/>
      </w:rPr>
    </w:lvl>
    <w:lvl w:ilvl="6">
      <w:numFmt w:val="bullet"/>
      <w:lvlText w:val=""/>
      <w:lvlJc w:val="left"/>
      <w:pPr>
        <w:ind w:left="3229" w:hanging="360"/>
      </w:pPr>
      <w:rPr>
        <w:rFonts w:ascii="Wingdings" w:hAnsi="Wingdings" w:cs="Wingdings"/>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4" w15:restartNumberingAfterBreak="0">
    <w:nsid w:val="0F816DFC"/>
    <w:multiLevelType w:val="multilevel"/>
    <w:tmpl w:val="42B6C3F4"/>
    <w:styleLink w:val="WW8Num12"/>
    <w:lvl w:ilvl="0">
      <w:start w:val="1"/>
      <w:numFmt w:val="decimal"/>
      <w:lvlText w:val="%1."/>
      <w:lvlJc w:val="left"/>
      <w:pPr>
        <w:ind w:left="360" w:hanging="360"/>
      </w:pPr>
    </w:lvl>
    <w:lvl w:ilvl="1">
      <w:start w:val="4"/>
      <w:numFmt w:val="decimal"/>
      <w:lvlText w:val="%1.%2"/>
      <w:lvlJc w:val="left"/>
      <w:pPr>
        <w:ind w:left="915" w:hanging="360"/>
      </w:pPr>
    </w:lvl>
    <w:lvl w:ilvl="2">
      <w:start w:val="1"/>
      <w:numFmt w:val="decimal"/>
      <w:lvlText w:val="%1.%2.%3"/>
      <w:lvlJc w:val="left"/>
      <w:pPr>
        <w:ind w:left="1830" w:hanging="720"/>
      </w:pPr>
    </w:lvl>
    <w:lvl w:ilvl="3">
      <w:start w:val="1"/>
      <w:numFmt w:val="decimal"/>
      <w:lvlText w:val="%1.%2.%3.%4"/>
      <w:lvlJc w:val="left"/>
      <w:pPr>
        <w:ind w:left="2745" w:hanging="1080"/>
      </w:pPr>
    </w:lvl>
    <w:lvl w:ilvl="4">
      <w:start w:val="1"/>
      <w:numFmt w:val="decimal"/>
      <w:lvlText w:val="%1.%2.%3.%4.%5"/>
      <w:lvlJc w:val="left"/>
      <w:pPr>
        <w:ind w:left="3300" w:hanging="1080"/>
      </w:pPr>
    </w:lvl>
    <w:lvl w:ilvl="5">
      <w:start w:val="1"/>
      <w:numFmt w:val="decimal"/>
      <w:lvlText w:val="%1.%2.%3.%4.%5.%6"/>
      <w:lvlJc w:val="left"/>
      <w:pPr>
        <w:ind w:left="4215" w:hanging="1440"/>
      </w:pPr>
    </w:lvl>
    <w:lvl w:ilvl="6">
      <w:start w:val="1"/>
      <w:numFmt w:val="decimal"/>
      <w:lvlText w:val="%1.%2.%3.%4.%5.%6.%7"/>
      <w:lvlJc w:val="left"/>
      <w:pPr>
        <w:ind w:left="4770" w:hanging="1440"/>
      </w:pPr>
    </w:lvl>
    <w:lvl w:ilvl="7">
      <w:start w:val="1"/>
      <w:numFmt w:val="decimal"/>
      <w:lvlText w:val="%1.%2.%3.%4.%5.%6.%7.%8"/>
      <w:lvlJc w:val="left"/>
      <w:pPr>
        <w:ind w:left="5685" w:hanging="1800"/>
      </w:pPr>
    </w:lvl>
    <w:lvl w:ilvl="8">
      <w:start w:val="1"/>
      <w:numFmt w:val="decimal"/>
      <w:lvlText w:val="%1.%2.%3.%4.%5.%6.%7.%8.%9"/>
      <w:lvlJc w:val="left"/>
      <w:pPr>
        <w:ind w:left="6240" w:hanging="1800"/>
      </w:pPr>
    </w:lvl>
  </w:abstractNum>
  <w:abstractNum w:abstractNumId="5" w15:restartNumberingAfterBreak="0">
    <w:nsid w:val="16463E8B"/>
    <w:multiLevelType w:val="multilevel"/>
    <w:tmpl w:val="1592BFC2"/>
    <w:styleLink w:val="WW8Num9"/>
    <w:lvl w:ilvl="0">
      <w:start w:val="4"/>
      <w:numFmt w:val="decimal"/>
      <w:lvlText w:val="%1."/>
      <w:lvlJc w:val="left"/>
      <w:pPr>
        <w:ind w:left="360" w:hanging="360"/>
      </w:pPr>
      <w:rPr>
        <w:rFonts w:cs="Arial"/>
      </w:rPr>
    </w:lvl>
    <w:lvl w:ilvl="1">
      <w:start w:val="4"/>
      <w:numFmt w:val="decimal"/>
      <w:lvlText w:val="%1.%2"/>
      <w:lvlJc w:val="left"/>
      <w:pPr>
        <w:ind w:left="915" w:hanging="360"/>
      </w:pPr>
      <w:rPr>
        <w:rFonts w:cs="Arial"/>
      </w:rPr>
    </w:lvl>
    <w:lvl w:ilvl="2">
      <w:start w:val="1"/>
      <w:numFmt w:val="decimal"/>
      <w:lvlText w:val="%1.%2.%3"/>
      <w:lvlJc w:val="left"/>
      <w:pPr>
        <w:ind w:left="1830" w:hanging="720"/>
      </w:pPr>
      <w:rPr>
        <w:rFonts w:cs="Arial"/>
      </w:rPr>
    </w:lvl>
    <w:lvl w:ilvl="3">
      <w:start w:val="1"/>
      <w:numFmt w:val="decimal"/>
      <w:lvlText w:val="%1.%2.%3.%4"/>
      <w:lvlJc w:val="left"/>
      <w:pPr>
        <w:ind w:left="2745" w:hanging="1080"/>
      </w:pPr>
      <w:rPr>
        <w:rFonts w:cs="Arial"/>
      </w:rPr>
    </w:lvl>
    <w:lvl w:ilvl="4">
      <w:start w:val="1"/>
      <w:numFmt w:val="decimal"/>
      <w:lvlText w:val="%1.%2.%3.%4.%5"/>
      <w:lvlJc w:val="left"/>
      <w:pPr>
        <w:ind w:left="3300" w:hanging="1080"/>
      </w:pPr>
      <w:rPr>
        <w:rFonts w:cs="Arial"/>
      </w:rPr>
    </w:lvl>
    <w:lvl w:ilvl="5">
      <w:start w:val="1"/>
      <w:numFmt w:val="decimal"/>
      <w:lvlText w:val="%1.%2.%3.%4.%5.%6"/>
      <w:lvlJc w:val="left"/>
      <w:pPr>
        <w:ind w:left="4215" w:hanging="1440"/>
      </w:pPr>
      <w:rPr>
        <w:rFonts w:cs="Arial"/>
      </w:rPr>
    </w:lvl>
    <w:lvl w:ilvl="6">
      <w:start w:val="1"/>
      <w:numFmt w:val="decimal"/>
      <w:lvlText w:val="%1.%2.%3.%4.%5.%6.%7"/>
      <w:lvlJc w:val="left"/>
      <w:pPr>
        <w:ind w:left="4770" w:hanging="1440"/>
      </w:pPr>
      <w:rPr>
        <w:rFonts w:cs="Arial"/>
      </w:rPr>
    </w:lvl>
    <w:lvl w:ilvl="7">
      <w:start w:val="1"/>
      <w:numFmt w:val="decimal"/>
      <w:lvlText w:val="%1.%2.%3.%4.%5.%6.%7.%8"/>
      <w:lvlJc w:val="left"/>
      <w:pPr>
        <w:ind w:left="5685" w:hanging="1800"/>
      </w:pPr>
      <w:rPr>
        <w:rFonts w:cs="Arial"/>
      </w:rPr>
    </w:lvl>
    <w:lvl w:ilvl="8">
      <w:start w:val="1"/>
      <w:numFmt w:val="decimal"/>
      <w:lvlText w:val="%1.%2.%3.%4.%5.%6.%7.%8.%9"/>
      <w:lvlJc w:val="left"/>
      <w:pPr>
        <w:ind w:left="6240" w:hanging="1800"/>
      </w:pPr>
      <w:rPr>
        <w:rFonts w:cs="Arial"/>
      </w:rPr>
    </w:lvl>
  </w:abstractNum>
  <w:abstractNum w:abstractNumId="6" w15:restartNumberingAfterBreak="0">
    <w:nsid w:val="19D945B3"/>
    <w:multiLevelType w:val="multilevel"/>
    <w:tmpl w:val="4342860E"/>
    <w:styleLink w:val="WW8Num3"/>
    <w:lvl w:ilvl="0">
      <w:numFmt w:val="bullet"/>
      <w:lvlText w:val=""/>
      <w:lvlJc w:val="left"/>
      <w:pPr>
        <w:ind w:left="720" w:hanging="360"/>
      </w:pPr>
      <w:rPr>
        <w:rFonts w:ascii="Symbol" w:hAnsi="Symbol" w:cs="Symbol"/>
        <w:color w:val="000000"/>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25D113C"/>
    <w:multiLevelType w:val="multilevel"/>
    <w:tmpl w:val="CD106010"/>
    <w:styleLink w:val="WW8Num7"/>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602418E"/>
    <w:multiLevelType w:val="multilevel"/>
    <w:tmpl w:val="6D302800"/>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2DE9119F"/>
    <w:multiLevelType w:val="hybridMultilevel"/>
    <w:tmpl w:val="578E33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013F4B"/>
    <w:multiLevelType w:val="hybridMultilevel"/>
    <w:tmpl w:val="9F8EB8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6AF1F62"/>
    <w:multiLevelType w:val="multilevel"/>
    <w:tmpl w:val="4426B7E2"/>
    <w:styleLink w:val="WW8Num4"/>
    <w:lvl w:ilvl="0">
      <w:numFmt w:val="bullet"/>
      <w:lvlText w:val=""/>
      <w:lvlJc w:val="left"/>
      <w:pPr>
        <w:ind w:left="36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CB529F9"/>
    <w:multiLevelType w:val="multilevel"/>
    <w:tmpl w:val="EBCECDA8"/>
    <w:styleLink w:val="WW8Num2"/>
    <w:lvl w:ilvl="0">
      <w:numFmt w:val="bullet"/>
      <w:pStyle w:val="Puntoelenco"/>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CFD01BA"/>
    <w:multiLevelType w:val="multilevel"/>
    <w:tmpl w:val="F1FE52C6"/>
    <w:styleLink w:val="WW8Num15"/>
    <w:lvl w:ilvl="0">
      <w:numFmt w:val="bullet"/>
      <w:lvlText w:val=""/>
      <w:lvlJc w:val="left"/>
      <w:pPr>
        <w:ind w:left="720" w:hanging="360"/>
      </w:pPr>
      <w:rPr>
        <w:rFonts w:ascii="Wingdings" w:hAnsi="Wingdings" w:cs="Wingdings"/>
        <w:kern w:val="3"/>
        <w:sz w:val="21"/>
        <w:szCs w:val="21"/>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BB76B7A"/>
    <w:multiLevelType w:val="multilevel"/>
    <w:tmpl w:val="CEAC4B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15:restartNumberingAfterBreak="0">
    <w:nsid w:val="56AD7BAA"/>
    <w:multiLevelType w:val="multilevel"/>
    <w:tmpl w:val="D2104C9A"/>
    <w:styleLink w:val="WW8Num8"/>
    <w:lvl w:ilvl="0">
      <w:numFmt w:val="bullet"/>
      <w:lvlText w:val=""/>
      <w:lvlJc w:val="left"/>
      <w:pPr>
        <w:ind w:left="720" w:hanging="360"/>
      </w:pPr>
      <w:rPr>
        <w:rFonts w:ascii="Wingdings" w:hAnsi="Wingdings" w:cs="Wingdings"/>
        <w:kern w:val="3"/>
        <w:sz w:val="21"/>
        <w:szCs w:val="21"/>
        <w:lang w:eastAsia="zh-C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B5218DA"/>
    <w:multiLevelType w:val="multilevel"/>
    <w:tmpl w:val="484A9996"/>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639936D4"/>
    <w:multiLevelType w:val="multilevel"/>
    <w:tmpl w:val="42CCDBDC"/>
    <w:styleLink w:val="WW8Num5"/>
    <w:lvl w:ilvl="0">
      <w:numFmt w:val="bullet"/>
      <w:lvlText w:val=""/>
      <w:lvlJc w:val="left"/>
      <w:pPr>
        <w:ind w:left="72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76597856"/>
    <w:multiLevelType w:val="multilevel"/>
    <w:tmpl w:val="76028748"/>
    <w:styleLink w:val="WW8Num16"/>
    <w:lvl w:ilvl="0">
      <w:numFmt w:val="bullet"/>
      <w:lvlText w:val=""/>
      <w:lvlJc w:val="left"/>
      <w:pPr>
        <w:ind w:left="720" w:hanging="360"/>
      </w:pPr>
      <w:rPr>
        <w:rFonts w:ascii="Symbol" w:hAnsi="Symbol" w:cs="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9" w15:restartNumberingAfterBreak="0">
    <w:nsid w:val="7B361E22"/>
    <w:multiLevelType w:val="multilevel"/>
    <w:tmpl w:val="5EDC75D2"/>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0" w15:restartNumberingAfterBreak="0">
    <w:nsid w:val="7CE95657"/>
    <w:multiLevelType w:val="hybridMultilevel"/>
    <w:tmpl w:val="01FA4834"/>
    <w:lvl w:ilvl="0" w:tplc="85522058">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357855"/>
    <w:multiLevelType w:val="multilevel"/>
    <w:tmpl w:val="3DC05FD0"/>
    <w:styleLink w:val="WW8Num10"/>
    <w:lvl w:ilvl="0">
      <w:numFmt w:val="bullet"/>
      <w:lvlText w:val=""/>
      <w:lvlJc w:val="left"/>
      <w:pPr>
        <w:ind w:left="1069" w:hanging="360"/>
      </w:pPr>
      <w:rPr>
        <w:rFonts w:ascii="Wingdings" w:hAnsi="Wingdings" w:cs="Wingdings"/>
        <w:color w:val="000000"/>
        <w:sz w:val="21"/>
        <w:szCs w:val="21"/>
      </w:rPr>
    </w:lvl>
    <w:lvl w:ilvl="1">
      <w:numFmt w:val="bullet"/>
      <w:lvlText w:val=""/>
      <w:lvlJc w:val="left"/>
      <w:pPr>
        <w:ind w:left="1429" w:hanging="360"/>
      </w:pPr>
      <w:rPr>
        <w:rFonts w:ascii="Wingdings" w:hAnsi="Wingdings" w:cs="Wingdings"/>
        <w:color w:val="000000"/>
        <w:sz w:val="21"/>
        <w:szCs w:val="21"/>
      </w:rPr>
    </w:lvl>
    <w:lvl w:ilvl="2">
      <w:numFmt w:val="bullet"/>
      <w:lvlText w:val=""/>
      <w:lvlJc w:val="left"/>
      <w:pPr>
        <w:ind w:left="1789" w:hanging="360"/>
      </w:pPr>
      <w:rPr>
        <w:rFonts w:ascii="Wingdings" w:hAnsi="Wingdings" w:cs="Wingdings"/>
        <w:color w:val="000000"/>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color w:val="000000"/>
        <w:sz w:val="21"/>
        <w:szCs w:val="21"/>
      </w:rPr>
    </w:lvl>
    <w:lvl w:ilvl="6">
      <w:numFmt w:val="bullet"/>
      <w:lvlText w:val=""/>
      <w:lvlJc w:val="left"/>
      <w:pPr>
        <w:ind w:left="3229" w:hanging="360"/>
      </w:pPr>
      <w:rPr>
        <w:rFonts w:ascii="Wingdings" w:hAnsi="Wingdings" w:cs="Wingdings"/>
        <w:color w:val="000000"/>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num w:numId="1">
    <w:abstractNumId w:val="19"/>
  </w:num>
  <w:num w:numId="2">
    <w:abstractNumId w:val="12"/>
  </w:num>
  <w:num w:numId="3">
    <w:abstractNumId w:val="6"/>
  </w:num>
  <w:num w:numId="4">
    <w:abstractNumId w:val="11"/>
  </w:num>
  <w:num w:numId="5">
    <w:abstractNumId w:val="17"/>
  </w:num>
  <w:num w:numId="6">
    <w:abstractNumId w:val="3"/>
  </w:num>
  <w:num w:numId="7">
    <w:abstractNumId w:val="7"/>
  </w:num>
  <w:num w:numId="8">
    <w:abstractNumId w:val="15"/>
  </w:num>
  <w:num w:numId="9">
    <w:abstractNumId w:val="5"/>
  </w:num>
  <w:num w:numId="10">
    <w:abstractNumId w:val="21"/>
  </w:num>
  <w:num w:numId="11">
    <w:abstractNumId w:val="2"/>
  </w:num>
  <w:num w:numId="12">
    <w:abstractNumId w:val="4"/>
  </w:num>
  <w:num w:numId="13">
    <w:abstractNumId w:val="1"/>
  </w:num>
  <w:num w:numId="14">
    <w:abstractNumId w:val="16"/>
  </w:num>
  <w:num w:numId="15">
    <w:abstractNumId w:val="13"/>
  </w:num>
  <w:num w:numId="16">
    <w:abstractNumId w:val="18"/>
  </w:num>
  <w:num w:numId="17">
    <w:abstractNumId w:val="8"/>
  </w:num>
  <w:num w:numId="18">
    <w:abstractNumId w:val="2"/>
    <w:lvlOverride w:ilvl="0">
      <w:startOverride w:val="1"/>
    </w:lvlOverride>
  </w:num>
  <w:num w:numId="19">
    <w:abstractNumId w:val="14"/>
  </w:num>
  <w:num w:numId="20">
    <w:abstractNumId w:val="1"/>
    <w:lvlOverride w:ilvl="0">
      <w:startOverride w:val="1"/>
    </w:lvlOverride>
  </w:num>
  <w:num w:numId="21">
    <w:abstractNumId w:val="17"/>
  </w:num>
  <w:num w:numId="22">
    <w:abstractNumId w:val="3"/>
  </w:num>
  <w:num w:numId="23">
    <w:abstractNumId w:val="7"/>
    <w:lvlOverride w:ilvl="0">
      <w:startOverride w:val="1"/>
    </w:lvlOverride>
  </w:num>
  <w:num w:numId="24">
    <w:abstractNumId w:val="21"/>
  </w:num>
  <w:num w:numId="25">
    <w:abstractNumId w:val="11"/>
  </w:num>
  <w:num w:numId="26">
    <w:abstractNumId w:val="8"/>
    <w:lvlOverride w:ilvl="0">
      <w:startOverride w:val="1"/>
    </w:lvlOverride>
  </w:num>
  <w:num w:numId="27">
    <w:abstractNumId w:val="15"/>
  </w:num>
  <w:num w:numId="28">
    <w:abstractNumId w:val="13"/>
  </w:num>
  <w:num w:numId="29">
    <w:abstractNumId w:val="0"/>
  </w:num>
  <w:num w:numId="30">
    <w:abstractNumId w:val="20"/>
  </w:num>
  <w:num w:numId="31">
    <w:abstractNumId w:val="1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EC"/>
    <w:rsid w:val="003E5DF5"/>
    <w:rsid w:val="004B1BEB"/>
    <w:rsid w:val="005A29F1"/>
    <w:rsid w:val="00677957"/>
    <w:rsid w:val="00724110"/>
    <w:rsid w:val="007A5A9B"/>
    <w:rsid w:val="00841BD8"/>
    <w:rsid w:val="00895721"/>
    <w:rsid w:val="00917FEC"/>
    <w:rsid w:val="009C1EBA"/>
    <w:rsid w:val="00A300AE"/>
    <w:rsid w:val="00A67240"/>
    <w:rsid w:val="00A91522"/>
    <w:rsid w:val="00BA2799"/>
    <w:rsid w:val="00BF0B20"/>
    <w:rsid w:val="00D46219"/>
    <w:rsid w:val="00DB6F5D"/>
    <w:rsid w:val="00F35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609FAF-F260-4212-9DDD-BAF8770A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Arial Unicode MS" w:hAnsi="Liberation Serif"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uppressAutoHyphens/>
    </w:pPr>
  </w:style>
  <w:style w:type="paragraph" w:styleId="Titolo1">
    <w:name w:val="heading 1"/>
    <w:basedOn w:val="Standard"/>
    <w:next w:val="Standard"/>
    <w:pPr>
      <w:keepNext/>
      <w:spacing w:before="240" w:after="60"/>
      <w:outlineLvl w:val="0"/>
    </w:pPr>
    <w:rPr>
      <w:b/>
      <w:sz w:val="28"/>
      <w:szCs w:val="20"/>
    </w:rPr>
  </w:style>
  <w:style w:type="paragraph" w:styleId="Titolo2">
    <w:name w:val="heading 2"/>
    <w:basedOn w:val="Standard"/>
    <w:next w:val="Standard"/>
    <w:pPr>
      <w:keepNext/>
      <w:spacing w:before="240" w:after="60"/>
      <w:outlineLvl w:val="1"/>
    </w:pPr>
    <w:rPr>
      <w:b/>
      <w:i/>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spacing w:after="200" w:line="276" w:lineRule="auto"/>
    </w:pPr>
    <w:rPr>
      <w:rFonts w:ascii="Calibri" w:eastAsia="Times New Roman" w:hAnsi="Calibri" w:cs="Times New Roman"/>
      <w:sz w:val="22"/>
      <w:szCs w:val="22"/>
      <w:lang w:bidi="ar-SA"/>
    </w:rPr>
  </w:style>
  <w:style w:type="paragraph" w:customStyle="1" w:styleId="Heading">
    <w:name w:val="Heading"/>
    <w:basedOn w:val="Standard"/>
    <w:next w:val="Textbody"/>
    <w:pPr>
      <w:keepNext/>
      <w:spacing w:before="240" w:after="120"/>
    </w:pPr>
    <w:rPr>
      <w:rFonts w:eastAsia="Arial Unicode MS" w:cs="Mangal"/>
      <w:sz w:val="28"/>
      <w:szCs w:val="28"/>
    </w:rPr>
  </w:style>
  <w:style w:type="paragraph" w:customStyle="1" w:styleId="Textbody">
    <w:name w:val="Text body"/>
    <w:basedOn w:val="Standard"/>
    <w:pPr>
      <w:spacing w:after="140" w:line="288" w:lineRule="auto"/>
    </w:pPr>
  </w:style>
  <w:style w:type="paragraph" w:styleId="Elenco">
    <w:name w:val="List"/>
    <w:basedOn w:val="Textbody"/>
    <w:rPr>
      <w:rFonts w:eastAsia="Calibri" w:cs="Mangal"/>
    </w:rPr>
  </w:style>
  <w:style w:type="paragraph" w:styleId="Didascalia">
    <w:name w:val="caption"/>
    <w:basedOn w:val="Standard"/>
    <w:pPr>
      <w:suppressLineNumbers/>
      <w:spacing w:before="120" w:after="120"/>
    </w:pPr>
    <w:rPr>
      <w:rFonts w:eastAsia="Calibri" w:cs="Mangal"/>
      <w:i/>
      <w:iCs/>
      <w:sz w:val="24"/>
      <w:szCs w:val="24"/>
    </w:rPr>
  </w:style>
  <w:style w:type="paragraph" w:customStyle="1" w:styleId="Index">
    <w:name w:val="Index"/>
    <w:basedOn w:val="Standard"/>
    <w:pPr>
      <w:suppressLineNumbers/>
    </w:pPr>
    <w:rPr>
      <w:rFonts w:eastAsia="Calibri" w:cs="Mangal"/>
    </w:rPr>
  </w:style>
  <w:style w:type="paragraph" w:customStyle="1" w:styleId="P">
    <w:name w:val="P"/>
    <w:pPr>
      <w:widowControl/>
      <w:suppressAutoHyphens/>
      <w:spacing w:after="200" w:line="276" w:lineRule="auto"/>
      <w:jc w:val="both"/>
    </w:pPr>
    <w:rPr>
      <w:rFonts w:ascii="News Serif" w:eastAsia="Times New Roman" w:hAnsi="News Serif" w:cs="News Serif"/>
      <w:szCs w:val="20"/>
      <w:lang w:bidi="ar-SA"/>
    </w:rPr>
  </w:style>
  <w:style w:type="paragraph" w:styleId="Intestazione">
    <w:name w:val="header"/>
    <w:basedOn w:val="Standard"/>
  </w:style>
  <w:style w:type="paragraph" w:customStyle="1" w:styleId="Contents1">
    <w:name w:val="Contents 1"/>
    <w:basedOn w:val="Standard"/>
    <w:next w:val="Standard"/>
    <w:pPr>
      <w:spacing w:before="120"/>
      <w:ind w:left="284" w:right="282" w:hanging="284"/>
    </w:pPr>
    <w:rPr>
      <w:rFonts w:ascii="Arial" w:eastAsia="Arial" w:hAnsi="Arial" w:cs="Arial"/>
      <w:b/>
      <w:caps/>
    </w:rPr>
  </w:style>
  <w:style w:type="paragraph" w:customStyle="1" w:styleId="Contents2">
    <w:name w:val="Contents 2"/>
    <w:basedOn w:val="Standard"/>
    <w:next w:val="Standard"/>
    <w:pPr>
      <w:ind w:left="709" w:right="282" w:hanging="425"/>
    </w:pPr>
    <w:rPr>
      <w:rFonts w:ascii="Arial" w:eastAsia="Arial" w:hAnsi="Arial" w:cs="Arial"/>
      <w:smallCaps/>
    </w:rPr>
  </w:style>
  <w:style w:type="paragraph" w:styleId="Paragrafoelenco">
    <w:name w:val="List Paragraph"/>
    <w:basedOn w:val="Standard"/>
    <w:pPr>
      <w:ind w:left="720"/>
    </w:pPr>
  </w:style>
  <w:style w:type="paragraph" w:customStyle="1" w:styleId="Default">
    <w:name w:val="Default"/>
    <w:pPr>
      <w:widowControl/>
      <w:suppressAutoHyphens/>
      <w:autoSpaceDE w:val="0"/>
      <w:spacing w:after="200" w:line="276" w:lineRule="auto"/>
      <w:jc w:val="both"/>
    </w:pPr>
    <w:rPr>
      <w:rFonts w:ascii="Garamond" w:eastAsia="Times New Roman" w:hAnsi="Garamond" w:cs="Garamond"/>
      <w:color w:val="000000"/>
      <w:lang w:bidi="ar-SA"/>
    </w:rPr>
  </w:style>
  <w:style w:type="paragraph" w:styleId="Titolosommario">
    <w:name w:val="TOC Heading"/>
    <w:basedOn w:val="Titolo1"/>
    <w:next w:val="Standard"/>
    <w:pPr>
      <w:keepLines/>
      <w:spacing w:before="480" w:after="0"/>
    </w:pPr>
    <w:rPr>
      <w:rFonts w:ascii="Cambria" w:eastAsia="Cambria" w:hAnsi="Cambria" w:cs="Cambria"/>
      <w:bCs/>
      <w:color w:val="365F91"/>
      <w:szCs w:val="28"/>
    </w:rPr>
  </w:style>
  <w:style w:type="paragraph" w:styleId="Testofumetto">
    <w:name w:val="Balloon Text"/>
    <w:basedOn w:val="Standard"/>
    <w:pPr>
      <w:spacing w:after="0" w:line="240" w:lineRule="auto"/>
    </w:pPr>
    <w:rPr>
      <w:rFonts w:ascii="Tahoma" w:eastAsia="Tahoma" w:hAnsi="Tahoma" w:cs="Tahoma"/>
      <w:sz w:val="16"/>
      <w:szCs w:val="16"/>
    </w:rPr>
  </w:style>
  <w:style w:type="paragraph" w:styleId="Corpodeltesto2">
    <w:name w:val="Body Text 2"/>
    <w:basedOn w:val="Standard"/>
    <w:pPr>
      <w:snapToGrid w:val="0"/>
      <w:spacing w:after="0" w:line="240" w:lineRule="auto"/>
      <w:jc w:val="both"/>
    </w:pPr>
    <w:rPr>
      <w:rFonts w:ascii="Times New Roman" w:hAnsi="Times New Roman"/>
      <w:sz w:val="24"/>
      <w:szCs w:val="20"/>
    </w:rPr>
  </w:style>
  <w:style w:type="paragraph" w:styleId="Pidipagina">
    <w:name w:val="footer"/>
    <w:basedOn w:val="Standard"/>
    <w:pPr>
      <w:tabs>
        <w:tab w:val="center" w:pos="4819"/>
        <w:tab w:val="right" w:pos="9638"/>
      </w:tabs>
    </w:pPr>
  </w:style>
  <w:style w:type="paragraph" w:styleId="NormaleWeb">
    <w:name w:val="Normal (Web)"/>
    <w:basedOn w:val="Standard"/>
    <w:pPr>
      <w:spacing w:before="280" w:after="142" w:line="288" w:lineRule="auto"/>
    </w:pPr>
  </w:style>
  <w:style w:type="paragraph" w:styleId="Testocommento">
    <w:name w:val="annotation text"/>
    <w:basedOn w:val="Standard"/>
    <w:rPr>
      <w:rFonts w:eastAsia="Calibri"/>
      <w:sz w:val="20"/>
      <w:szCs w:val="20"/>
    </w:rPr>
  </w:style>
  <w:style w:type="paragraph" w:styleId="Puntoelenco">
    <w:name w:val="List Bullet"/>
    <w:basedOn w:val="Standard"/>
    <w:pPr>
      <w:numPr>
        <w:numId w:val="2"/>
      </w:numPr>
    </w:pPr>
  </w:style>
  <w:style w:type="paragraph" w:customStyle="1" w:styleId="Testodelblocco1">
    <w:name w:val="Testo del blocco1"/>
    <w:basedOn w:val="Standard"/>
    <w:pPr>
      <w:tabs>
        <w:tab w:val="center" w:pos="4820"/>
        <w:tab w:val="left" w:pos="7088"/>
      </w:tabs>
      <w:overflowPunct w:val="0"/>
      <w:autoSpaceDE w:val="0"/>
      <w:spacing w:after="0" w:line="240" w:lineRule="auto"/>
      <w:ind w:left="1418" w:right="140" w:hanging="1418"/>
      <w:jc w:val="both"/>
    </w:pPr>
    <w:rPr>
      <w:rFonts w:ascii="Times New Roman" w:hAnsi="Times New Roman"/>
      <w:b/>
      <w:sz w:val="24"/>
      <w:szCs w:val="20"/>
    </w:rPr>
  </w:style>
  <w:style w:type="paragraph" w:customStyle="1" w:styleId="Footnote">
    <w:name w:val="Footnote"/>
    <w:basedOn w:val="Standard"/>
    <w:rPr>
      <w:rFonts w:eastAsia="Calibri"/>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Standard"/>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customStyle="1" w:styleId="NormaleWebArial">
    <w:name w:val="Normale (Web) + Arial"/>
    <w:basedOn w:val="NormaleWeb"/>
    <w:pPr>
      <w:spacing w:after="0" w:line="360" w:lineRule="auto"/>
      <w:jc w:val="both"/>
    </w:pPr>
    <w:rPr>
      <w:b/>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Symbol" w:hAnsi="Symbol" w:cs="Symbol"/>
    </w:rPr>
  </w:style>
  <w:style w:type="character" w:customStyle="1" w:styleId="WW8Num3z0">
    <w:name w:val="WW8Num3z0"/>
    <w:rPr>
      <w:rFonts w:ascii="Symbol" w:eastAsia="Symbol" w:hAnsi="Symbol" w:cs="Symbol"/>
      <w:color w:val="000000"/>
      <w:sz w:val="21"/>
      <w:szCs w:val="21"/>
    </w:rPr>
  </w:style>
  <w:style w:type="character" w:customStyle="1" w:styleId="WW8Num4z0">
    <w:name w:val="WW8Num4z0"/>
    <w:rPr>
      <w:rFonts w:ascii="Symbol" w:eastAsia="Symbol" w:hAnsi="Symbol" w:cs="Symbol"/>
      <w:sz w:val="21"/>
      <w:szCs w:val="21"/>
    </w:rPr>
  </w:style>
  <w:style w:type="character" w:customStyle="1" w:styleId="WW8Num5z0">
    <w:name w:val="WW8Num5z0"/>
    <w:rPr>
      <w:rFonts w:ascii="Symbol" w:eastAsia="Symbol" w:hAnsi="Symbol" w:cs="Symbol"/>
      <w:sz w:val="21"/>
      <w:szCs w:val="21"/>
    </w:rPr>
  </w:style>
  <w:style w:type="character" w:customStyle="1" w:styleId="WW8Num6z0">
    <w:name w:val="WW8Num6z0"/>
    <w:rPr>
      <w:rFonts w:ascii="Wingdings" w:eastAsia="Wingdings" w:hAnsi="Wingdings" w:cs="Wingdings"/>
      <w:sz w:val="21"/>
      <w:szCs w:val="21"/>
    </w:rPr>
  </w:style>
  <w:style w:type="character" w:customStyle="1" w:styleId="WW8Num6z3">
    <w:name w:val="WW8Num6z3"/>
    <w:rPr>
      <w:rFonts w:ascii="Symbol" w:eastAsia="Symbol" w:hAnsi="Symbol" w:cs="Symbol"/>
    </w:rPr>
  </w:style>
  <w:style w:type="character" w:customStyle="1" w:styleId="WW8Num7z0">
    <w:name w:val="WW8Num7z0"/>
    <w:rPr>
      <w:rFonts w:ascii="Arial" w:eastAsia="Arial" w:hAnsi="Arial" w:cs="Arial"/>
      <w:sz w:val="21"/>
      <w:szCs w:val="21"/>
    </w:rPr>
  </w:style>
  <w:style w:type="character" w:customStyle="1" w:styleId="WW8Num8z0">
    <w:name w:val="WW8Num8z0"/>
    <w:rPr>
      <w:rFonts w:ascii="Wingdings" w:eastAsia="Wingdings" w:hAnsi="Wingdings" w:cs="Wingdings"/>
      <w:kern w:val="3"/>
      <w:sz w:val="21"/>
      <w:szCs w:val="21"/>
      <w:lang w:eastAsia="zh-CN" w:bidi="hi-IN"/>
    </w:rPr>
  </w:style>
  <w:style w:type="character" w:customStyle="1" w:styleId="WW8Num9z0">
    <w:name w:val="WW8Num9z0"/>
    <w:rPr>
      <w:rFonts w:cs="Arial"/>
    </w:rPr>
  </w:style>
  <w:style w:type="character" w:customStyle="1" w:styleId="WW8Num10z0">
    <w:name w:val="WW8Num10z0"/>
    <w:rPr>
      <w:rFonts w:ascii="Wingdings" w:eastAsia="Wingdings" w:hAnsi="Wingdings" w:cs="Wingdings"/>
      <w:color w:val="000000"/>
      <w:sz w:val="21"/>
      <w:szCs w:val="21"/>
    </w:rPr>
  </w:style>
  <w:style w:type="character" w:customStyle="1" w:styleId="WW8Num10z3">
    <w:name w:val="WW8Num10z3"/>
    <w:rPr>
      <w:rFonts w:ascii="Symbol" w:eastAsia="Symbol" w:hAnsi="Symbol" w:cs="Symbol"/>
    </w:rPr>
  </w:style>
  <w:style w:type="character" w:customStyle="1" w:styleId="WW8Num11z0">
    <w:name w:val="WW8Num11z0"/>
  </w:style>
  <w:style w:type="character" w:customStyle="1" w:styleId="WW8Num12z0">
    <w:name w:val="WW8Num12z0"/>
  </w:style>
  <w:style w:type="character" w:customStyle="1" w:styleId="WW8Num13z0">
    <w:name w:val="WW8Num13z0"/>
    <w:rPr>
      <w:rFonts w:ascii="Arial" w:eastAsia="Arial" w:hAnsi="Arial" w:cs="Arial"/>
      <w:sz w:val="21"/>
      <w:szCs w:val="21"/>
    </w:rPr>
  </w:style>
  <w:style w:type="character" w:customStyle="1" w:styleId="WW8Num14z0">
    <w:name w:val="WW8Num14z0"/>
    <w:rPr>
      <w:rFonts w:ascii="Symbol" w:eastAsia="Symbol" w:hAnsi="Symbol" w:cs="Symbol"/>
    </w:rPr>
  </w:style>
  <w:style w:type="character" w:customStyle="1" w:styleId="WW8Num15z0">
    <w:name w:val="WW8Num15z0"/>
    <w:rPr>
      <w:rFonts w:ascii="Wingdings" w:eastAsia="Wingdings" w:hAnsi="Wingdings" w:cs="Wingdings"/>
      <w:kern w:val="3"/>
      <w:sz w:val="21"/>
      <w:szCs w:val="21"/>
      <w:lang w:bidi="hi-IN"/>
    </w:rPr>
  </w:style>
  <w:style w:type="character" w:customStyle="1" w:styleId="WW8Num16z0">
    <w:name w:val="WW8Num16z0"/>
    <w:rPr>
      <w:rFonts w:ascii="Symbol" w:eastAsia="Symbol" w:hAnsi="Symbol" w:cs="Symbol"/>
      <w:sz w:val="20"/>
    </w:rPr>
  </w:style>
  <w:style w:type="character" w:customStyle="1" w:styleId="WW8Num16z1">
    <w:name w:val="WW8Num16z1"/>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7z1">
    <w:name w:val="WW8Num7z1"/>
    <w:rPr>
      <w:rFonts w:ascii="Wingdings" w:eastAsia="Wingdings" w:hAnsi="Wingdings" w:cs="Wingdings"/>
    </w:rPr>
  </w:style>
  <w:style w:type="character" w:customStyle="1" w:styleId="WW8Num7z4">
    <w:name w:val="WW8Num7z4"/>
    <w:rPr>
      <w:rFonts w:ascii="Courier New" w:eastAsia="Courier New" w:hAnsi="Courier New" w:cs="Courier New"/>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1">
    <w:name w:val="WW8Num9z1"/>
    <w:rPr>
      <w:lang w:val="it-IT"/>
    </w:rPr>
  </w:style>
  <w:style w:type="character" w:customStyle="1" w:styleId="WW8Num10z4">
    <w:name w:val="WW8Num10z4"/>
    <w:rPr>
      <w:rFonts w:ascii="Courier New" w:eastAsia="Courier New" w:hAnsi="Courier New" w:cs="Courier New"/>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2z1">
    <w:name w:val="WW8Num12z1"/>
    <w:rPr>
      <w:rFonts w:ascii="Courier New" w:eastAsia="Courier New" w:hAnsi="Courier New" w:cs="Courier New"/>
    </w:rPr>
  </w:style>
  <w:style w:type="character" w:customStyle="1" w:styleId="WW8Num12z3">
    <w:name w:val="WW8Num12z3"/>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5z3">
    <w:name w:val="WW8Num15z3"/>
    <w:rPr>
      <w:rFonts w:ascii="Symbol" w:eastAsia="Symbol" w:hAnsi="Symbol" w:cs="Symbol"/>
    </w:rPr>
  </w:style>
  <w:style w:type="character" w:customStyle="1" w:styleId="WW8Num17z0">
    <w:name w:val="WW8Num17z0"/>
    <w:rPr>
      <w:rFonts w:ascii="Symbol" w:eastAsia="Symbol" w:hAnsi="Symbol" w:cs="Symbol"/>
      <w:sz w:val="20"/>
    </w:rPr>
  </w:style>
  <w:style w:type="character" w:customStyle="1" w:styleId="WW8Num17z1">
    <w:name w:val="WW8Num17z1"/>
    <w:rPr>
      <w:rFonts w:ascii="Courier New" w:eastAsia="Courier New" w:hAnsi="Courier New" w:cs="Courier New"/>
      <w:sz w:val="20"/>
    </w:rPr>
  </w:style>
  <w:style w:type="character" w:customStyle="1" w:styleId="WW8Num17z2">
    <w:name w:val="WW8Num17z2"/>
    <w:rPr>
      <w:rFonts w:ascii="Wingdings" w:eastAsia="Wingdings" w:hAnsi="Wingdings" w:cs="Wingdings"/>
      <w:sz w:val="20"/>
    </w:rPr>
  </w:style>
  <w:style w:type="character" w:customStyle="1" w:styleId="WW8Num18z0">
    <w:name w:val="WW8Num18z0"/>
    <w:rPr>
      <w:rFonts w:ascii="Arial" w:eastAsia="Arial" w:hAnsi="Arial" w:cs="Arial"/>
      <w:sz w:val="21"/>
      <w:szCs w:val="21"/>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8z3">
    <w:name w:val="WW8Num18z3"/>
    <w:rPr>
      <w:rFonts w:ascii="Symbol" w:eastAsia="Symbol" w:hAnsi="Symbol" w:cs="Symbol"/>
    </w:rPr>
  </w:style>
  <w:style w:type="character" w:customStyle="1" w:styleId="WW8Num19z0">
    <w:name w:val="WW8Num19z0"/>
    <w:rPr>
      <w:rFonts w:ascii="Wingdings" w:eastAsia="Arial Unicode MS" w:hAnsi="Wingdings" w:cs="Wingdings"/>
      <w:kern w:val="3"/>
      <w:sz w:val="21"/>
      <w:szCs w:val="21"/>
      <w:lang w:eastAsia="zh-CN" w:bidi="hi-IN"/>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b/>
      <w:i w:val="0"/>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Arial"/>
    </w:rPr>
  </w:style>
  <w:style w:type="character" w:customStyle="1" w:styleId="WW8Num22z0">
    <w:name w:val="WW8Num22z0"/>
    <w:rPr>
      <w:rFonts w:ascii="Symbol" w:eastAsia="Symbol" w:hAnsi="Symbol" w:cs="Symbol"/>
      <w:sz w:val="20"/>
    </w:rPr>
  </w:style>
  <w:style w:type="character" w:customStyle="1" w:styleId="WW8Num22z1">
    <w:name w:val="WW8Num22z1"/>
    <w:rPr>
      <w:rFonts w:ascii="Courier New" w:eastAsia="Courier New" w:hAnsi="Courier New" w:cs="Courier New"/>
      <w:sz w:val="20"/>
    </w:rPr>
  </w:style>
  <w:style w:type="character" w:customStyle="1" w:styleId="WW8Num22z2">
    <w:name w:val="WW8Num22z2"/>
    <w:rPr>
      <w:rFonts w:ascii="Wingdings" w:eastAsia="Wingdings" w:hAnsi="Wingdings" w:cs="Wingdings"/>
      <w:sz w:val="20"/>
    </w:rPr>
  </w:style>
  <w:style w:type="character" w:customStyle="1" w:styleId="WW8Num23z0">
    <w:name w:val="WW8Num23z0"/>
    <w:rPr>
      <w:rFonts w:ascii="Symbol" w:eastAsia="Symbol" w:hAnsi="Symbol" w:cs="Symbol"/>
      <w:sz w:val="20"/>
    </w:rPr>
  </w:style>
  <w:style w:type="character" w:customStyle="1" w:styleId="WW8Num23z1">
    <w:name w:val="WW8Num23z1"/>
  </w:style>
  <w:style w:type="character" w:customStyle="1" w:styleId="WW8Num24z0">
    <w:name w:val="WW8Num24z0"/>
    <w:rPr>
      <w:rFonts w:ascii="Wingdings" w:eastAsia="Wingdings" w:hAnsi="Wingdings" w:cs="Wingdings"/>
      <w:color w:val="000000"/>
      <w:sz w:val="21"/>
      <w:szCs w:val="21"/>
    </w:rPr>
  </w:style>
  <w:style w:type="character" w:customStyle="1" w:styleId="WW8Num24z3">
    <w:name w:val="WW8Num24z3"/>
    <w:rPr>
      <w:rFonts w:ascii="Symbol" w:eastAsia="Symbol" w:hAnsi="Symbol" w:cs="Symbol"/>
    </w:rPr>
  </w:style>
  <w:style w:type="character" w:customStyle="1" w:styleId="WW8Num25z0">
    <w:name w:val="WW8Num25z0"/>
  </w:style>
  <w:style w:type="character" w:customStyle="1" w:styleId="WW8Num26z0">
    <w:name w:val="WW8Num26z0"/>
    <w:rPr>
      <w:rFonts w:ascii="Wingdings" w:eastAsia="Wingdings" w:hAnsi="Wingdings" w:cs="Wingdings"/>
    </w:rPr>
  </w:style>
  <w:style w:type="character" w:customStyle="1" w:styleId="WW8Num26z1">
    <w:name w:val="WW8Num26z1"/>
    <w:rPr>
      <w:rFonts w:ascii="Courier New" w:eastAsia="Courier New" w:hAnsi="Courier New" w:cs="Courier New"/>
    </w:rPr>
  </w:style>
  <w:style w:type="character" w:customStyle="1" w:styleId="WW8Num26z3">
    <w:name w:val="WW8Num26z3"/>
    <w:rPr>
      <w:rFonts w:ascii="Symbol" w:eastAsia="Symbol" w:hAnsi="Symbol" w:cs="Symbol"/>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9z0">
    <w:name w:val="WW8Num29z0"/>
  </w:style>
  <w:style w:type="character" w:customStyle="1" w:styleId="WW8Num30z0">
    <w:name w:val="WW8Num30z0"/>
    <w:rPr>
      <w:rFonts w:ascii="Arial" w:eastAsia="Arial" w:hAnsi="Arial" w:cs="Arial"/>
      <w:sz w:val="21"/>
      <w:szCs w:val="21"/>
    </w:rPr>
  </w:style>
  <w:style w:type="character" w:customStyle="1" w:styleId="WW8Num30z1">
    <w:name w:val="WW8Num30z1"/>
    <w:rPr>
      <w:rFonts w:ascii="Trebuchet MS" w:eastAsia="Calibri" w:hAnsi="Trebuchet MS" w:cs="Times New Roman"/>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eastAsia="Symbol" w:hAnsi="Symbol" w:cs="Symbol"/>
    </w:rPr>
  </w:style>
  <w:style w:type="character" w:customStyle="1" w:styleId="WW8Num31z1">
    <w:name w:val="WW8Num31z1"/>
    <w:rPr>
      <w:rFonts w:ascii="Courier New" w:eastAsia="Courier New" w:hAnsi="Courier New" w:cs="Courier New"/>
    </w:rPr>
  </w:style>
  <w:style w:type="character" w:customStyle="1" w:styleId="WW8Num31z2">
    <w:name w:val="WW8Num31z2"/>
    <w:rPr>
      <w:rFonts w:ascii="Wingdings" w:eastAsia="Wingdings" w:hAnsi="Wingdings" w:cs="Wingdings"/>
    </w:rPr>
  </w:style>
  <w:style w:type="character" w:customStyle="1" w:styleId="WW8Num32z0">
    <w:name w:val="WW8Num32z0"/>
    <w:rPr>
      <w:rFonts w:ascii="Symbol" w:eastAsia="Symbol" w:hAnsi="Symbol" w:cs="Symbol"/>
    </w:rPr>
  </w:style>
  <w:style w:type="character" w:customStyle="1" w:styleId="WW8Num32z1">
    <w:name w:val="WW8Num32z1"/>
    <w:rPr>
      <w:rFonts w:ascii="Trebuchet MS" w:eastAsia="Times New Roman" w:hAnsi="Trebuchet MS" w:cs="Times New Roman"/>
    </w:rPr>
  </w:style>
  <w:style w:type="character" w:customStyle="1" w:styleId="WW8Num32z2">
    <w:name w:val="WW8Num32z2"/>
    <w:rPr>
      <w:rFonts w:ascii="Wingdings" w:eastAsia="Wingdings" w:hAnsi="Wingdings" w:cs="Wingdings"/>
    </w:rPr>
  </w:style>
  <w:style w:type="character" w:customStyle="1" w:styleId="WW8Num32z4">
    <w:name w:val="WW8Num32z4"/>
    <w:rPr>
      <w:rFonts w:ascii="Courier New" w:eastAsia="Courier New" w:hAnsi="Courier New" w:cs="Courier New"/>
    </w:rPr>
  </w:style>
  <w:style w:type="character" w:customStyle="1" w:styleId="WW8Num33z0">
    <w:name w:val="WW8Num33z0"/>
    <w:rPr>
      <w:rFonts w:ascii="Symbol" w:eastAsia="Symbol" w:hAnsi="Symbol" w:cs="Symbol"/>
    </w:rPr>
  </w:style>
  <w:style w:type="character" w:customStyle="1" w:styleId="WW8Num33z1">
    <w:name w:val="WW8Num33z1"/>
    <w:rPr>
      <w:rFonts w:ascii="Courier New" w:eastAsia="Courier New" w:hAnsi="Courier New" w:cs="Courier New"/>
    </w:rPr>
  </w:style>
  <w:style w:type="character" w:customStyle="1" w:styleId="WW8Num33z2">
    <w:name w:val="WW8Num33z2"/>
    <w:rPr>
      <w:rFonts w:ascii="Wingdings" w:eastAsia="Wingdings" w:hAnsi="Wingdings" w:cs="Wingdings"/>
    </w:rPr>
  </w:style>
  <w:style w:type="character" w:customStyle="1" w:styleId="WW8Num34z0">
    <w:name w:val="WW8Num34z0"/>
    <w:rPr>
      <w:rFonts w:ascii="Wingdings" w:eastAsia="Wingdings" w:hAnsi="Wingdings" w:cs="Wingdings"/>
      <w:kern w:val="3"/>
      <w:sz w:val="21"/>
      <w:szCs w:val="21"/>
      <w:lang w:bidi="hi-IN"/>
    </w:rPr>
  </w:style>
  <w:style w:type="character" w:customStyle="1" w:styleId="WW8Num34z1">
    <w:name w:val="WW8Num34z1"/>
    <w:rPr>
      <w:rFonts w:ascii="Courier New" w:eastAsia="Courier New" w:hAnsi="Courier New" w:cs="Courier New"/>
    </w:rPr>
  </w:style>
  <w:style w:type="character" w:customStyle="1" w:styleId="WW8Num34z3">
    <w:name w:val="WW8Num34z3"/>
    <w:rPr>
      <w:rFonts w:ascii="Symbol" w:eastAsia="Symbol" w:hAnsi="Symbol" w:cs="Symbol"/>
    </w:rPr>
  </w:style>
  <w:style w:type="character" w:customStyle="1" w:styleId="Titolo1Carattere">
    <w:name w:val="Titolo 1 Carattere"/>
    <w:rPr>
      <w:b/>
      <w:kern w:val="3"/>
      <w:sz w:val="28"/>
    </w:rPr>
  </w:style>
  <w:style w:type="character" w:customStyle="1" w:styleId="Titolo2Carattere">
    <w:name w:val="Titolo 2 Carattere"/>
    <w:rPr>
      <w:b/>
      <w:i/>
    </w:rPr>
  </w:style>
  <w:style w:type="character" w:customStyle="1" w:styleId="IntestazioneCarattere">
    <w:name w:val="Intestazione Carattere"/>
    <w:basedOn w:val="Carpredefinitoparagrafo"/>
  </w:style>
  <w:style w:type="character" w:customStyle="1" w:styleId="Internetlink">
    <w:name w:val="Internet link"/>
    <w:rPr>
      <w:color w:val="0000FF"/>
      <w:u w:val="single"/>
    </w:rPr>
  </w:style>
  <w:style w:type="character" w:customStyle="1" w:styleId="TestofumettoCarattere">
    <w:name w:val="Testo fumetto Carattere"/>
    <w:rPr>
      <w:rFonts w:ascii="Tahoma" w:eastAsia="Tahoma" w:hAnsi="Tahoma" w:cs="Tahoma"/>
      <w:sz w:val="16"/>
      <w:szCs w:val="16"/>
    </w:rPr>
  </w:style>
  <w:style w:type="character" w:customStyle="1" w:styleId="apple-converted-space">
    <w:name w:val="apple-converted-space"/>
    <w:basedOn w:val="Carpredefinitoparagrafo"/>
  </w:style>
  <w:style w:type="character" w:customStyle="1" w:styleId="il">
    <w:name w:val="il"/>
    <w:basedOn w:val="Carpredefinitoparagrafo"/>
  </w:style>
  <w:style w:type="character" w:customStyle="1" w:styleId="Corpodeltesto2Carattere">
    <w:name w:val="Corpo del testo 2 Carattere"/>
    <w:rPr>
      <w:rFonts w:ascii="Times New Roman" w:eastAsia="Times New Roman" w:hAnsi="Times New Roman" w:cs="Times New Roman"/>
      <w:sz w:val="24"/>
      <w:szCs w:val="20"/>
    </w:rPr>
  </w:style>
  <w:style w:type="character" w:customStyle="1" w:styleId="PidipaginaCarattere">
    <w:name w:val="Piè di pagina Carattere"/>
    <w:rPr>
      <w:sz w:val="22"/>
      <w:szCs w:val="22"/>
    </w:rPr>
  </w:style>
  <w:style w:type="character" w:customStyle="1" w:styleId="StrongEmphasis">
    <w:name w:val="Strong Emphasis"/>
    <w:rPr>
      <w:b/>
      <w:bCs/>
    </w:rPr>
  </w:style>
  <w:style w:type="character" w:styleId="Rimandocommento">
    <w:name w:val="annotation reference"/>
    <w:rPr>
      <w:sz w:val="16"/>
      <w:szCs w:val="16"/>
    </w:rPr>
  </w:style>
  <w:style w:type="character" w:customStyle="1" w:styleId="TestocommentoCarattere">
    <w:name w:val="Testo commento Carattere"/>
    <w:rPr>
      <w:rFonts w:eastAsia="Calibri"/>
    </w:rPr>
  </w:style>
  <w:style w:type="character" w:customStyle="1" w:styleId="TestonotaapidipaginaCarattere">
    <w:name w:val="Testo nota a piè di pagina Carattere"/>
    <w:rPr>
      <w:rFonts w:eastAsia="Calibri"/>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EndnoteSymbol">
    <w:name w:val="Endnote Symbol"/>
    <w:rPr>
      <w:position w:val="0"/>
      <w:vertAlign w:val="superscript"/>
    </w:rPr>
  </w:style>
  <w:style w:type="character" w:customStyle="1" w:styleId="WW-Caratterinotadichiusura">
    <w:name w:val="WW-Caratteri nota di chiusura"/>
  </w:style>
  <w:style w:type="character" w:customStyle="1" w:styleId="BulletSymbols">
    <w:name w:val="Bullet Symbols"/>
    <w:rPr>
      <w:rFonts w:ascii="OpenSymbol" w:eastAsia="OpenSymbol" w:hAnsi="OpenSymbol" w:cs="OpenSymbol"/>
    </w:rPr>
  </w:style>
  <w:style w:type="character" w:customStyle="1" w:styleId="IndexLink">
    <w:name w:val="Index Link"/>
  </w:style>
  <w:style w:type="character" w:styleId="Rimandonotaapidipagina">
    <w:name w:val="footnote reference"/>
    <w:basedOn w:val="Carpredefinitoparagrafo"/>
    <w:rPr>
      <w:position w:val="0"/>
      <w:vertAlign w:val="superscript"/>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numbering" w:customStyle="1" w:styleId="WW8Num14">
    <w:name w:val="WW8Num14"/>
    <w:basedOn w:val="Nessunelenco"/>
    <w:pPr>
      <w:numPr>
        <w:numId w:val="14"/>
      </w:numPr>
    </w:pPr>
  </w:style>
  <w:style w:type="numbering" w:customStyle="1" w:styleId="WW8Num15">
    <w:name w:val="WW8Num15"/>
    <w:basedOn w:val="Nessunelenco"/>
    <w:pPr>
      <w:numPr>
        <w:numId w:val="15"/>
      </w:numPr>
    </w:pPr>
  </w:style>
  <w:style w:type="numbering" w:customStyle="1" w:styleId="WW8Num16">
    <w:name w:val="WW8Num16"/>
    <w:basedOn w:val="Nessunelenco"/>
    <w:pPr>
      <w:numPr>
        <w:numId w:val="16"/>
      </w:numPr>
    </w:pPr>
  </w:style>
  <w:style w:type="numbering" w:customStyle="1" w:styleId="WWNum1">
    <w:name w:val="WWNum1"/>
    <w:basedOn w:val="Nessunelenco"/>
    <w:pPr>
      <w:numPr>
        <w:numId w:val="17"/>
      </w:numPr>
    </w:pPr>
  </w:style>
  <w:style w:type="character" w:styleId="Collegamentoipertestuale">
    <w:name w:val="Hyperlink"/>
    <w:basedOn w:val="Carpredefinitoparagrafo"/>
    <w:uiPriority w:val="99"/>
    <w:semiHidden/>
    <w:unhideWhenUsed/>
    <w:rsid w:val="00895721"/>
    <w:rPr>
      <w:color w:val="0563C1"/>
      <w:u w:val="single"/>
    </w:rPr>
  </w:style>
  <w:style w:type="character" w:styleId="Collegamentovisitato">
    <w:name w:val="FollowedHyperlink"/>
    <w:basedOn w:val="Carpredefinitoparagrafo"/>
    <w:uiPriority w:val="99"/>
    <w:semiHidden/>
    <w:unhideWhenUsed/>
    <w:rsid w:val="00895721"/>
    <w:rPr>
      <w:color w:val="954F72"/>
      <w:u w:val="single"/>
    </w:rPr>
  </w:style>
  <w:style w:type="paragraph" w:customStyle="1" w:styleId="font5">
    <w:name w:val="font5"/>
    <w:basedOn w:val="Normale"/>
    <w:rsid w:val="00895721"/>
    <w:pPr>
      <w:widowControl/>
      <w:suppressAutoHyphens w:val="0"/>
      <w:autoSpaceDN/>
      <w:spacing w:before="100" w:beforeAutospacing="1" w:after="100" w:afterAutospacing="1"/>
      <w:textAlignment w:val="auto"/>
    </w:pPr>
    <w:rPr>
      <w:rFonts w:ascii="Trebuchet MS" w:eastAsia="Times New Roman" w:hAnsi="Trebuchet MS" w:cs="Times New Roman"/>
      <w:b/>
      <w:bCs/>
      <w:color w:val="0000CC"/>
      <w:kern w:val="0"/>
      <w:sz w:val="28"/>
      <w:szCs w:val="28"/>
      <w:lang w:eastAsia="it-IT" w:bidi="ar-SA"/>
    </w:rPr>
  </w:style>
  <w:style w:type="paragraph" w:customStyle="1" w:styleId="font6">
    <w:name w:val="font6"/>
    <w:basedOn w:val="Normale"/>
    <w:rsid w:val="00895721"/>
    <w:pPr>
      <w:widowControl/>
      <w:suppressAutoHyphens w:val="0"/>
      <w:autoSpaceDN/>
      <w:spacing w:before="100" w:beforeAutospacing="1" w:after="100" w:afterAutospacing="1"/>
      <w:textAlignment w:val="auto"/>
    </w:pPr>
    <w:rPr>
      <w:rFonts w:ascii="Arial" w:eastAsia="Times New Roman" w:hAnsi="Arial" w:cs="Arial"/>
      <w:kern w:val="0"/>
      <w:sz w:val="28"/>
      <w:szCs w:val="28"/>
      <w:lang w:eastAsia="it-IT" w:bidi="ar-SA"/>
    </w:rPr>
  </w:style>
  <w:style w:type="paragraph" w:customStyle="1" w:styleId="xl66">
    <w:name w:val="xl66"/>
    <w:basedOn w:val="Normale"/>
    <w:rsid w:val="00895721"/>
    <w:pPr>
      <w:widowControl/>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67">
    <w:name w:val="xl67"/>
    <w:basedOn w:val="Normale"/>
    <w:rsid w:val="00895721"/>
    <w:pPr>
      <w:widowControl/>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68">
    <w:name w:val="xl68"/>
    <w:basedOn w:val="Normale"/>
    <w:rsid w:val="00895721"/>
    <w:pPr>
      <w:widowControl/>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69">
    <w:name w:val="xl69"/>
    <w:basedOn w:val="Normale"/>
    <w:rsid w:val="00895721"/>
    <w:pPr>
      <w:widowControl/>
      <w:shd w:val="clear" w:color="FFFFCC"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70">
    <w:name w:val="xl70"/>
    <w:basedOn w:val="Normale"/>
    <w:rsid w:val="00895721"/>
    <w:pPr>
      <w:widowControl/>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71">
    <w:name w:val="xl71"/>
    <w:basedOn w:val="Normale"/>
    <w:rsid w:val="00895721"/>
    <w:pPr>
      <w:widowControl/>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72">
    <w:name w:val="xl72"/>
    <w:basedOn w:val="Normale"/>
    <w:rsid w:val="00895721"/>
    <w:pPr>
      <w:widowControl/>
      <w:pBdr>
        <w:top w:val="single" w:sz="4" w:space="0" w:color="auto"/>
        <w:left w:val="single" w:sz="4" w:space="0" w:color="auto"/>
        <w:bottom w:val="single" w:sz="4" w:space="0" w:color="auto"/>
        <w:right w:val="single" w:sz="4" w:space="0" w:color="auto"/>
      </w:pBdr>
      <w:shd w:val="clear" w:color="C0C0C0" w:fill="CCCC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73">
    <w:name w:val="xl73"/>
    <w:basedOn w:val="Normale"/>
    <w:rsid w:val="00895721"/>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74">
    <w:name w:val="xl74"/>
    <w:basedOn w:val="Normale"/>
    <w:rsid w:val="00895721"/>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75">
    <w:name w:val="xl75"/>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76">
    <w:name w:val="xl76"/>
    <w:basedOn w:val="Normale"/>
    <w:rsid w:val="00895721"/>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77">
    <w:name w:val="xl77"/>
    <w:basedOn w:val="Normale"/>
    <w:rsid w:val="00895721"/>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78">
    <w:name w:val="xl78"/>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79">
    <w:name w:val="xl79"/>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80">
    <w:name w:val="xl80"/>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81">
    <w:name w:val="xl81"/>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82">
    <w:name w:val="xl82"/>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83">
    <w:name w:val="xl83"/>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84">
    <w:name w:val="xl84"/>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85">
    <w:name w:val="xl85"/>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86">
    <w:name w:val="xl86"/>
    <w:basedOn w:val="Normale"/>
    <w:rsid w:val="00895721"/>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87">
    <w:name w:val="xl87"/>
    <w:basedOn w:val="Normale"/>
    <w:rsid w:val="00895721"/>
    <w:pPr>
      <w:widowControl/>
      <w:pBdr>
        <w:top w:val="single" w:sz="4" w:space="0" w:color="auto"/>
        <w:left w:val="single" w:sz="4" w:space="0" w:color="auto"/>
        <w:bottom w:val="single" w:sz="4" w:space="0" w:color="auto"/>
        <w:right w:val="single" w:sz="4" w:space="0" w:color="auto"/>
      </w:pBdr>
      <w:shd w:val="clear" w:color="FFFFFF"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88">
    <w:name w:val="xl88"/>
    <w:basedOn w:val="Normale"/>
    <w:rsid w:val="00895721"/>
    <w:pPr>
      <w:widowControl/>
      <w:pBdr>
        <w:top w:val="single" w:sz="4" w:space="0" w:color="auto"/>
        <w:left w:val="single" w:sz="4" w:space="0" w:color="auto"/>
        <w:bottom w:val="single" w:sz="4" w:space="0" w:color="auto"/>
        <w:right w:val="single" w:sz="4" w:space="0" w:color="auto"/>
      </w:pBdr>
      <w:shd w:val="clear" w:color="FFFFFF" w:fill="FFFFFF"/>
      <w:suppressAutoHyphens w:val="0"/>
      <w:autoSpaceDN/>
      <w:spacing w:before="100" w:beforeAutospacing="1" w:after="100" w:afterAutospacing="1"/>
      <w:textAlignment w:val="center"/>
    </w:pPr>
    <w:rPr>
      <w:rFonts w:ascii="Trebuchet MS" w:eastAsia="Times New Roman" w:hAnsi="Trebuchet MS" w:cs="Times New Roman"/>
      <w:b/>
      <w:bCs/>
      <w:kern w:val="0"/>
      <w:sz w:val="28"/>
      <w:szCs w:val="28"/>
      <w:lang w:eastAsia="it-IT" w:bidi="ar-SA"/>
    </w:rPr>
  </w:style>
  <w:style w:type="paragraph" w:customStyle="1" w:styleId="xl89">
    <w:name w:val="xl89"/>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90">
    <w:name w:val="xl90"/>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91">
    <w:name w:val="xl91"/>
    <w:basedOn w:val="Normale"/>
    <w:rsid w:val="00895721"/>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92">
    <w:name w:val="xl92"/>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93">
    <w:name w:val="xl93"/>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jc w:val="center"/>
      <w:textAlignment w:val="auto"/>
    </w:pPr>
    <w:rPr>
      <w:rFonts w:ascii="Trebuchet MS" w:eastAsia="Times New Roman" w:hAnsi="Trebuchet MS" w:cs="Times New Roman"/>
      <w:kern w:val="0"/>
      <w:sz w:val="28"/>
      <w:szCs w:val="28"/>
      <w:lang w:eastAsia="it-IT" w:bidi="ar-SA"/>
    </w:rPr>
  </w:style>
  <w:style w:type="paragraph" w:customStyle="1" w:styleId="xl94">
    <w:name w:val="xl94"/>
    <w:basedOn w:val="Normale"/>
    <w:rsid w:val="00895721"/>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95">
    <w:name w:val="xl95"/>
    <w:basedOn w:val="Normale"/>
    <w:rsid w:val="00895721"/>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96">
    <w:name w:val="xl96"/>
    <w:basedOn w:val="Normale"/>
    <w:rsid w:val="00895721"/>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Times New Roman" w:hAnsi="Arial" w:cs="Arial"/>
      <w:kern w:val="0"/>
      <w:lang w:eastAsia="it-IT" w:bidi="ar-SA"/>
    </w:rPr>
  </w:style>
  <w:style w:type="paragraph" w:customStyle="1" w:styleId="xl97">
    <w:name w:val="xl97"/>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jc w:val="center"/>
      <w:textAlignment w:val="center"/>
    </w:pPr>
    <w:rPr>
      <w:rFonts w:ascii="Calibri" w:eastAsia="Times New Roman" w:hAnsi="Calibri" w:cs="Times New Roman"/>
      <w:b/>
      <w:bCs/>
      <w:kern w:val="0"/>
      <w:sz w:val="28"/>
      <w:szCs w:val="28"/>
      <w:lang w:eastAsia="it-IT" w:bidi="ar-SA"/>
    </w:rPr>
  </w:style>
  <w:style w:type="paragraph" w:customStyle="1" w:styleId="xl98">
    <w:name w:val="xl98"/>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99">
    <w:name w:val="xl99"/>
    <w:basedOn w:val="Normale"/>
    <w:rsid w:val="00895721"/>
    <w:pPr>
      <w:widowControl/>
      <w:pBdr>
        <w:top w:val="single" w:sz="4" w:space="0" w:color="auto"/>
        <w:left w:val="single" w:sz="4" w:space="0" w:color="auto"/>
        <w:bottom w:val="single" w:sz="4" w:space="0" w:color="auto"/>
        <w:right w:val="single" w:sz="4" w:space="0" w:color="auto"/>
      </w:pBdr>
      <w:shd w:val="clear" w:color="FFFFFF"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100">
    <w:name w:val="xl100"/>
    <w:basedOn w:val="Normale"/>
    <w:rsid w:val="00895721"/>
    <w:pPr>
      <w:widowControl/>
      <w:suppressAutoHyphens w:val="0"/>
      <w:autoSpaceDN/>
      <w:spacing w:before="100" w:beforeAutospacing="1" w:after="100" w:afterAutospacing="1"/>
      <w:textAlignment w:val="center"/>
    </w:pPr>
    <w:rPr>
      <w:rFonts w:ascii="Trebuchet MS" w:eastAsia="Times New Roman" w:hAnsi="Trebuchet MS" w:cs="Times New Roman"/>
      <w:b/>
      <w:bCs/>
      <w:kern w:val="0"/>
      <w:sz w:val="28"/>
      <w:szCs w:val="28"/>
      <w:lang w:eastAsia="it-IT" w:bidi="ar-SA"/>
    </w:rPr>
  </w:style>
  <w:style w:type="paragraph" w:customStyle="1" w:styleId="xl101">
    <w:name w:val="xl101"/>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102">
    <w:name w:val="xl102"/>
    <w:basedOn w:val="Normale"/>
    <w:rsid w:val="00895721"/>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103">
    <w:name w:val="xl103"/>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104">
    <w:name w:val="xl104"/>
    <w:basedOn w:val="Normale"/>
    <w:rsid w:val="00895721"/>
    <w:pPr>
      <w:widowControl/>
      <w:pBdr>
        <w:top w:val="single" w:sz="4" w:space="0" w:color="auto"/>
        <w:left w:val="single" w:sz="4" w:space="0" w:color="auto"/>
        <w:bottom w:val="single" w:sz="4" w:space="0" w:color="auto"/>
        <w:right w:val="single" w:sz="4" w:space="0" w:color="auto"/>
      </w:pBdr>
      <w:shd w:val="clear" w:color="FF8080"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105">
    <w:name w:val="xl105"/>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106">
    <w:name w:val="xl106"/>
    <w:basedOn w:val="Normale"/>
    <w:rsid w:val="00895721"/>
    <w:pPr>
      <w:widowControl/>
      <w:pBdr>
        <w:top w:val="single" w:sz="4" w:space="0" w:color="auto"/>
        <w:left w:val="single" w:sz="4" w:space="0" w:color="auto"/>
        <w:bottom w:val="single" w:sz="4" w:space="0" w:color="auto"/>
        <w:right w:val="single" w:sz="4" w:space="0" w:color="auto"/>
      </w:pBdr>
      <w:shd w:val="clear" w:color="FFFFCC" w:fill="FFFFFF"/>
      <w:suppressAutoHyphens w:val="0"/>
      <w:autoSpaceDN/>
      <w:spacing w:before="100" w:beforeAutospacing="1" w:after="100" w:afterAutospacing="1"/>
      <w:jc w:val="center"/>
      <w:textAlignment w:val="center"/>
    </w:pPr>
    <w:rPr>
      <w:rFonts w:ascii="Trebuchet MS" w:eastAsia="Times New Roman" w:hAnsi="Trebuchet MS" w:cs="Times New Roman"/>
      <w:kern w:val="0"/>
      <w:sz w:val="28"/>
      <w:szCs w:val="28"/>
      <w:lang w:eastAsia="it-IT" w:bidi="ar-SA"/>
    </w:rPr>
  </w:style>
  <w:style w:type="paragraph" w:customStyle="1" w:styleId="xl107">
    <w:name w:val="xl107"/>
    <w:basedOn w:val="Normale"/>
    <w:rsid w:val="00895721"/>
    <w:pPr>
      <w:widowControl/>
      <w:pBdr>
        <w:top w:val="single" w:sz="4" w:space="0" w:color="auto"/>
        <w:left w:val="single" w:sz="4" w:space="0" w:color="auto"/>
        <w:bottom w:val="single" w:sz="4" w:space="0" w:color="auto"/>
        <w:right w:val="single" w:sz="4" w:space="0" w:color="auto"/>
      </w:pBdr>
      <w:shd w:val="clear" w:color="FFFFFF"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28"/>
      <w:szCs w:val="28"/>
      <w:lang w:eastAsia="it-IT" w:bidi="ar-SA"/>
    </w:rPr>
  </w:style>
  <w:style w:type="paragraph" w:customStyle="1" w:styleId="xl108">
    <w:name w:val="xl108"/>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32"/>
      <w:szCs w:val="32"/>
      <w:lang w:eastAsia="it-IT" w:bidi="ar-SA"/>
    </w:rPr>
  </w:style>
  <w:style w:type="paragraph" w:customStyle="1" w:styleId="xl109">
    <w:name w:val="xl109"/>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32"/>
      <w:szCs w:val="32"/>
      <w:lang w:eastAsia="it-IT" w:bidi="ar-SA"/>
    </w:rPr>
  </w:style>
  <w:style w:type="paragraph" w:customStyle="1" w:styleId="xl110">
    <w:name w:val="xl110"/>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textAlignment w:val="center"/>
    </w:pPr>
    <w:rPr>
      <w:rFonts w:ascii="Trebuchet MS" w:eastAsia="Times New Roman" w:hAnsi="Trebuchet MS" w:cs="Times New Roman"/>
      <w:kern w:val="0"/>
      <w:sz w:val="28"/>
      <w:szCs w:val="28"/>
      <w:lang w:eastAsia="it-IT" w:bidi="ar-SA"/>
    </w:rPr>
  </w:style>
  <w:style w:type="paragraph" w:customStyle="1" w:styleId="xl111">
    <w:name w:val="xl111"/>
    <w:basedOn w:val="Normale"/>
    <w:rsid w:val="00895721"/>
    <w:pPr>
      <w:widowControl/>
      <w:pBdr>
        <w:top w:val="single" w:sz="4" w:space="0" w:color="auto"/>
        <w:left w:val="single" w:sz="4" w:space="0" w:color="auto"/>
        <w:bottom w:val="single" w:sz="4" w:space="0" w:color="auto"/>
        <w:right w:val="single" w:sz="4" w:space="0" w:color="auto"/>
      </w:pBdr>
      <w:shd w:val="clear" w:color="FFFF00"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32"/>
      <w:szCs w:val="32"/>
      <w:lang w:eastAsia="it-IT" w:bidi="ar-SA"/>
    </w:rPr>
  </w:style>
  <w:style w:type="paragraph" w:customStyle="1" w:styleId="xl112">
    <w:name w:val="xl112"/>
    <w:basedOn w:val="Normale"/>
    <w:rsid w:val="00895721"/>
    <w:pPr>
      <w:widowControl/>
      <w:pBdr>
        <w:top w:val="single" w:sz="4" w:space="0" w:color="auto"/>
        <w:left w:val="single" w:sz="4" w:space="0" w:color="auto"/>
        <w:bottom w:val="single" w:sz="4" w:space="0" w:color="auto"/>
        <w:right w:val="single" w:sz="4" w:space="0" w:color="auto"/>
      </w:pBdr>
      <w:shd w:val="clear" w:color="33CCCC" w:fill="FFFFFF"/>
      <w:suppressAutoHyphens w:val="0"/>
      <w:autoSpaceDN/>
      <w:spacing w:before="100" w:beforeAutospacing="1" w:after="100" w:afterAutospacing="1"/>
      <w:jc w:val="center"/>
      <w:textAlignment w:val="center"/>
    </w:pPr>
    <w:rPr>
      <w:rFonts w:ascii="Trebuchet MS" w:eastAsia="Times New Roman" w:hAnsi="Trebuchet MS" w:cs="Times New Roman"/>
      <w:b/>
      <w:bCs/>
      <w:kern w:val="0"/>
      <w:sz w:val="32"/>
      <w:szCs w:val="32"/>
      <w:lang w:eastAsia="it-IT" w:bidi="ar-SA"/>
    </w:rPr>
  </w:style>
  <w:style w:type="table" w:styleId="Grigliatabella">
    <w:name w:val="Table Grid"/>
    <w:basedOn w:val="Tabellanormale"/>
    <w:uiPriority w:val="39"/>
    <w:rsid w:val="0089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636401">
      <w:bodyDiv w:val="1"/>
      <w:marLeft w:val="0"/>
      <w:marRight w:val="0"/>
      <w:marTop w:val="0"/>
      <w:marBottom w:val="0"/>
      <w:divBdr>
        <w:top w:val="none" w:sz="0" w:space="0" w:color="auto"/>
        <w:left w:val="none" w:sz="0" w:space="0" w:color="auto"/>
        <w:bottom w:val="none" w:sz="0" w:space="0" w:color="auto"/>
        <w:right w:val="none" w:sz="0" w:space="0" w:color="auto"/>
      </w:divBdr>
    </w:div>
    <w:div w:id="1856995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comunecintetesino.it/gfx/home/stemma.gif" TargetMode="Externa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268180-3AD7-4E62-BD75-5B1284C6DEFB}"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it-IT"/>
        </a:p>
      </dgm:t>
    </dgm:pt>
    <dgm:pt modelId="{F9C3CE6F-9884-43D6-908F-AC9E966B8F5E}">
      <dgm:prSet phldrT="[Testo]" custT="1"/>
      <dgm:spPr/>
      <dgm:t>
        <a:bodyPr/>
        <a:lstStyle/>
        <a:p>
          <a:r>
            <a:rPr lang="it-IT" sz="1000"/>
            <a:t>Segretario generale</a:t>
          </a:r>
        </a:p>
        <a:p>
          <a:r>
            <a:rPr lang="it-IT" sz="1000"/>
            <a:t>coordinatore</a:t>
          </a:r>
        </a:p>
        <a:p>
          <a:r>
            <a:rPr lang="it-IT" sz="1000"/>
            <a:t>dott.ssa Sonia Biscaro</a:t>
          </a:r>
        </a:p>
      </dgm:t>
    </dgm:pt>
    <dgm:pt modelId="{414EE2C0-1AD4-483E-A802-E39C0717CA76}" type="parTrans" cxnId="{6FE40524-78F1-4D43-9C69-118A3F235F44}">
      <dgm:prSet/>
      <dgm:spPr/>
      <dgm:t>
        <a:bodyPr/>
        <a:lstStyle/>
        <a:p>
          <a:endParaRPr lang="it-IT"/>
        </a:p>
      </dgm:t>
    </dgm:pt>
    <dgm:pt modelId="{78F06483-7F49-4A3E-8990-6FF1C21E3DAC}" type="sibTrans" cxnId="{6FE40524-78F1-4D43-9C69-118A3F235F44}">
      <dgm:prSet/>
      <dgm:spPr/>
      <dgm:t>
        <a:bodyPr/>
        <a:lstStyle/>
        <a:p>
          <a:endParaRPr lang="it-IT"/>
        </a:p>
      </dgm:t>
    </dgm:pt>
    <dgm:pt modelId="{5AE9BF18-1977-465F-B951-1A00DD8DD597}" type="asst">
      <dgm:prSet phldrT="[Testo]" custT="1"/>
      <dgm:spPr/>
      <dgm:t>
        <a:bodyPr/>
        <a:lstStyle/>
        <a:p>
          <a:pPr>
            <a:lnSpc>
              <a:spcPct val="100000"/>
            </a:lnSpc>
            <a:spcAft>
              <a:spcPts val="0"/>
            </a:spcAft>
          </a:pPr>
          <a:r>
            <a:rPr lang="it-IT" sz="1000"/>
            <a:t>Segretario dei Comuni </a:t>
          </a:r>
        </a:p>
        <a:p>
          <a:pPr>
            <a:lnSpc>
              <a:spcPct val="100000"/>
            </a:lnSpc>
            <a:spcAft>
              <a:spcPts val="0"/>
            </a:spcAft>
          </a:pPr>
          <a:r>
            <a:rPr lang="it-IT" sz="1000"/>
            <a:t>di Castello Tesino e Cinte Tesino</a:t>
          </a:r>
        </a:p>
        <a:p>
          <a:pPr>
            <a:lnSpc>
              <a:spcPct val="100000"/>
            </a:lnSpc>
            <a:spcAft>
              <a:spcPts val="0"/>
            </a:spcAft>
          </a:pPr>
          <a:r>
            <a:rPr lang="it-IT" sz="1000"/>
            <a:t>dott. Bruno Zampedri (RPCT)</a:t>
          </a:r>
        </a:p>
        <a:p>
          <a:pPr>
            <a:lnSpc>
              <a:spcPct val="90000"/>
            </a:lnSpc>
            <a:spcAft>
              <a:spcPct val="35000"/>
            </a:spcAft>
          </a:pPr>
          <a:endParaRPr lang="it-IT" sz="600"/>
        </a:p>
      </dgm:t>
    </dgm:pt>
    <dgm:pt modelId="{0B36BDB7-B9B3-45CC-B8BB-8BC9AF832E97}" type="parTrans" cxnId="{AE7193A6-6497-42C6-BEF8-1717C8AC3372}">
      <dgm:prSet/>
      <dgm:spPr/>
      <dgm:t>
        <a:bodyPr/>
        <a:lstStyle/>
        <a:p>
          <a:endParaRPr lang="it-IT"/>
        </a:p>
      </dgm:t>
    </dgm:pt>
    <dgm:pt modelId="{3FB508F2-C3CD-4C41-8DD5-9C9CC9416910}" type="sibTrans" cxnId="{AE7193A6-6497-42C6-BEF8-1717C8AC3372}">
      <dgm:prSet/>
      <dgm:spPr/>
      <dgm:t>
        <a:bodyPr/>
        <a:lstStyle/>
        <a:p>
          <a:endParaRPr lang="it-IT"/>
        </a:p>
      </dgm:t>
    </dgm:pt>
    <dgm:pt modelId="{9FA38E8B-B064-4322-B183-C752A67AE031}">
      <dgm:prSet phldrT="[Testo]"/>
      <dgm:spPr/>
      <dgm:t>
        <a:bodyPr/>
        <a:lstStyle/>
        <a:p>
          <a:r>
            <a:rPr lang="it-IT"/>
            <a:t>SERVIZIO SEGRETERIA</a:t>
          </a:r>
        </a:p>
      </dgm:t>
    </dgm:pt>
    <dgm:pt modelId="{685ED212-E855-4185-933E-C14F2F0C779A}" type="parTrans" cxnId="{13EE99E5-B798-41A0-BBA2-1B41191EAEC4}">
      <dgm:prSet/>
      <dgm:spPr/>
      <dgm:t>
        <a:bodyPr/>
        <a:lstStyle/>
        <a:p>
          <a:endParaRPr lang="it-IT"/>
        </a:p>
      </dgm:t>
    </dgm:pt>
    <dgm:pt modelId="{4C393806-489E-455F-B276-D6D1FD66DC62}" type="sibTrans" cxnId="{13EE99E5-B798-41A0-BBA2-1B41191EAEC4}">
      <dgm:prSet/>
      <dgm:spPr/>
      <dgm:t>
        <a:bodyPr/>
        <a:lstStyle/>
        <a:p>
          <a:endParaRPr lang="it-IT"/>
        </a:p>
      </dgm:t>
    </dgm:pt>
    <dgm:pt modelId="{C316E2F2-AFE2-43ED-8A67-59C6514C7BAC}">
      <dgm:prSet phldrT="[Testo]"/>
      <dgm:spPr/>
      <dgm:t>
        <a:bodyPr/>
        <a:lstStyle/>
        <a:p>
          <a:r>
            <a:rPr lang="it-IT"/>
            <a:t>SERVIZIO DEMOGRAFICO ED ALLA PERSONA</a:t>
          </a:r>
        </a:p>
      </dgm:t>
    </dgm:pt>
    <dgm:pt modelId="{22FA6674-C9DC-4C31-A2DC-080644044F25}" type="parTrans" cxnId="{01F5DBC0-1A65-41DE-A620-9656409DBCF4}">
      <dgm:prSet/>
      <dgm:spPr/>
      <dgm:t>
        <a:bodyPr/>
        <a:lstStyle/>
        <a:p>
          <a:endParaRPr lang="it-IT"/>
        </a:p>
      </dgm:t>
    </dgm:pt>
    <dgm:pt modelId="{7353ED32-8388-454D-8469-50C585ABF842}" type="sibTrans" cxnId="{01F5DBC0-1A65-41DE-A620-9656409DBCF4}">
      <dgm:prSet/>
      <dgm:spPr/>
      <dgm:t>
        <a:bodyPr/>
        <a:lstStyle/>
        <a:p>
          <a:endParaRPr lang="it-IT"/>
        </a:p>
      </dgm:t>
    </dgm:pt>
    <dgm:pt modelId="{3411A824-C96C-423A-BF56-1258283770C1}">
      <dgm:prSet phldrT="[Testo]"/>
      <dgm:spPr/>
      <dgm:t>
        <a:bodyPr/>
        <a:lstStyle/>
        <a:p>
          <a:r>
            <a:rPr lang="it-IT"/>
            <a:t>SERVIZIO TECNICO</a:t>
          </a:r>
        </a:p>
      </dgm:t>
    </dgm:pt>
    <dgm:pt modelId="{4E84F27B-05A0-461B-AE34-477C74D8735E}" type="parTrans" cxnId="{F058866B-443B-4CAD-973C-8E4B5C0A89D7}">
      <dgm:prSet/>
      <dgm:spPr/>
      <dgm:t>
        <a:bodyPr/>
        <a:lstStyle/>
        <a:p>
          <a:endParaRPr lang="it-IT"/>
        </a:p>
      </dgm:t>
    </dgm:pt>
    <dgm:pt modelId="{BC594C8D-FA1D-448F-B494-2A21E86B2994}" type="sibTrans" cxnId="{F058866B-443B-4CAD-973C-8E4B5C0A89D7}">
      <dgm:prSet/>
      <dgm:spPr/>
      <dgm:t>
        <a:bodyPr/>
        <a:lstStyle/>
        <a:p>
          <a:endParaRPr lang="it-IT"/>
        </a:p>
      </dgm:t>
    </dgm:pt>
    <dgm:pt modelId="{56167E4A-CB4A-4993-AD0B-BB9E20B8D0FB}" type="asst">
      <dgm:prSet custT="1"/>
      <dgm:spPr/>
      <dgm:t>
        <a:bodyPr/>
        <a:lstStyle/>
        <a:p>
          <a:pPr>
            <a:lnSpc>
              <a:spcPct val="100000"/>
            </a:lnSpc>
            <a:spcAft>
              <a:spcPts val="0"/>
            </a:spcAft>
          </a:pPr>
          <a:r>
            <a:rPr lang="it-IT" sz="1000"/>
            <a:t>Segretario dei Comuni </a:t>
          </a:r>
        </a:p>
        <a:p>
          <a:pPr>
            <a:lnSpc>
              <a:spcPct val="100000"/>
            </a:lnSpc>
            <a:spcAft>
              <a:spcPts val="0"/>
            </a:spcAft>
          </a:pPr>
          <a:r>
            <a:rPr lang="it-IT" sz="1000"/>
            <a:t>di Pieve Tesino e Bieno</a:t>
          </a:r>
        </a:p>
        <a:p>
          <a:pPr>
            <a:lnSpc>
              <a:spcPct val="100000"/>
            </a:lnSpc>
            <a:spcAft>
              <a:spcPts val="0"/>
            </a:spcAft>
          </a:pPr>
          <a:r>
            <a:rPr lang="it-IT" sz="1000"/>
            <a:t>dott. Stefano Menguzzo</a:t>
          </a:r>
        </a:p>
      </dgm:t>
    </dgm:pt>
    <dgm:pt modelId="{698C74AD-DE54-4F3F-828A-ACB13AA165AA}" type="parTrans" cxnId="{118C739B-5B4F-4976-B562-5387020858BD}">
      <dgm:prSet/>
      <dgm:spPr/>
      <dgm:t>
        <a:bodyPr/>
        <a:lstStyle/>
        <a:p>
          <a:endParaRPr lang="it-IT"/>
        </a:p>
      </dgm:t>
    </dgm:pt>
    <dgm:pt modelId="{9C4509BE-AD11-4C51-AEC9-DB7A4959399E}" type="sibTrans" cxnId="{118C739B-5B4F-4976-B562-5387020858BD}">
      <dgm:prSet/>
      <dgm:spPr/>
      <dgm:t>
        <a:bodyPr/>
        <a:lstStyle/>
        <a:p>
          <a:endParaRPr lang="it-IT"/>
        </a:p>
      </dgm:t>
    </dgm:pt>
    <dgm:pt modelId="{A8F36EDE-81B6-4D65-8FCA-A4D812787008}">
      <dgm:prSet custT="1"/>
      <dgm:spPr/>
      <dgm:t>
        <a:bodyPr/>
        <a:lstStyle/>
        <a:p>
          <a:pPr>
            <a:lnSpc>
              <a:spcPct val="100000"/>
            </a:lnSpc>
            <a:spcAft>
              <a:spcPts val="0"/>
            </a:spcAft>
          </a:pPr>
          <a:r>
            <a:rPr lang="it-IT" sz="900"/>
            <a:t>SERVIZIO </a:t>
          </a:r>
        </a:p>
        <a:p>
          <a:pPr>
            <a:lnSpc>
              <a:spcPct val="100000"/>
            </a:lnSpc>
            <a:spcAft>
              <a:spcPts val="0"/>
            </a:spcAft>
          </a:pPr>
          <a:r>
            <a:rPr lang="it-IT" sz="900"/>
            <a:t>FINANZIARIO	</a:t>
          </a:r>
        </a:p>
      </dgm:t>
    </dgm:pt>
    <dgm:pt modelId="{C4C146CA-8BAB-491A-98C0-3E81E03FF6F3}" type="parTrans" cxnId="{8D46E5A1-A6FE-4BB9-BC2E-50C5361B3BE4}">
      <dgm:prSet/>
      <dgm:spPr/>
      <dgm:t>
        <a:bodyPr/>
        <a:lstStyle/>
        <a:p>
          <a:endParaRPr lang="it-IT"/>
        </a:p>
      </dgm:t>
    </dgm:pt>
    <dgm:pt modelId="{B4E23E46-DE3D-4F7C-A87A-C9DBEB5AD711}" type="sibTrans" cxnId="{8D46E5A1-A6FE-4BB9-BC2E-50C5361B3BE4}">
      <dgm:prSet/>
      <dgm:spPr/>
      <dgm:t>
        <a:bodyPr/>
        <a:lstStyle/>
        <a:p>
          <a:endParaRPr lang="it-IT"/>
        </a:p>
      </dgm:t>
    </dgm:pt>
    <dgm:pt modelId="{6BFDB0C0-58FC-4A9A-912A-18789CFF582F}">
      <dgm:prSet custT="1"/>
      <dgm:spPr/>
      <dgm:t>
        <a:bodyPr/>
        <a:lstStyle/>
        <a:p>
          <a:pPr>
            <a:lnSpc>
              <a:spcPct val="100000"/>
            </a:lnSpc>
            <a:spcAft>
              <a:spcPts val="0"/>
            </a:spcAft>
          </a:pPr>
          <a:r>
            <a:rPr lang="it-IT" sz="900"/>
            <a:t>Responsabile </a:t>
          </a:r>
        </a:p>
        <a:p>
          <a:pPr>
            <a:lnSpc>
              <a:spcPct val="100000"/>
            </a:lnSpc>
            <a:spcAft>
              <a:spcPts val="0"/>
            </a:spcAft>
          </a:pPr>
          <a:r>
            <a:rPr lang="it-IT" sz="900"/>
            <a:t>del settore</a:t>
          </a:r>
        </a:p>
        <a:p>
          <a:pPr>
            <a:lnSpc>
              <a:spcPct val="100000"/>
            </a:lnSpc>
            <a:spcAft>
              <a:spcPts val="0"/>
            </a:spcAft>
          </a:pPr>
          <a:r>
            <a:rPr lang="it-IT" sz="900"/>
            <a:t>Cesca rag. Nadia</a:t>
          </a:r>
        </a:p>
      </dgm:t>
    </dgm:pt>
    <dgm:pt modelId="{E3C85C97-A3B4-47BD-B5D5-9C05257A5DFE}" type="parTrans" cxnId="{FF2E9ED5-D250-4F66-B9BD-2B5F42CA1AEA}">
      <dgm:prSet/>
      <dgm:spPr/>
      <dgm:t>
        <a:bodyPr/>
        <a:lstStyle/>
        <a:p>
          <a:endParaRPr lang="it-IT"/>
        </a:p>
      </dgm:t>
    </dgm:pt>
    <dgm:pt modelId="{61F09C81-88B1-48C8-8576-0AE3DDA7AF73}" type="sibTrans" cxnId="{FF2E9ED5-D250-4F66-B9BD-2B5F42CA1AEA}">
      <dgm:prSet/>
      <dgm:spPr/>
      <dgm:t>
        <a:bodyPr/>
        <a:lstStyle/>
        <a:p>
          <a:endParaRPr lang="it-IT"/>
        </a:p>
      </dgm:t>
    </dgm:pt>
    <dgm:pt modelId="{BFF715E1-79BC-4EE5-B39B-F728A80EE0FC}">
      <dgm:prSet custT="1"/>
      <dgm:spPr/>
      <dgm:t>
        <a:bodyPr/>
        <a:lstStyle/>
        <a:p>
          <a:pPr>
            <a:lnSpc>
              <a:spcPct val="100000"/>
            </a:lnSpc>
            <a:spcAft>
              <a:spcPts val="0"/>
            </a:spcAft>
          </a:pPr>
          <a:r>
            <a:rPr lang="it-IT" sz="900"/>
            <a:t>Responsabile </a:t>
          </a:r>
        </a:p>
        <a:p>
          <a:pPr>
            <a:lnSpc>
              <a:spcPct val="100000"/>
            </a:lnSpc>
            <a:spcAft>
              <a:spcPts val="0"/>
            </a:spcAft>
          </a:pPr>
          <a:r>
            <a:rPr lang="it-IT" sz="900"/>
            <a:t>del settore</a:t>
          </a:r>
        </a:p>
        <a:p>
          <a:pPr>
            <a:lnSpc>
              <a:spcPct val="100000"/>
            </a:lnSpc>
            <a:spcAft>
              <a:spcPts val="0"/>
            </a:spcAft>
          </a:pPr>
          <a:r>
            <a:rPr lang="it-IT" sz="900"/>
            <a:t>Zampedri dott. Bruno</a:t>
          </a:r>
        </a:p>
      </dgm:t>
    </dgm:pt>
    <dgm:pt modelId="{02BAF389-C736-47AD-AC6D-4BDD2ACB5371}" type="parTrans" cxnId="{371AE78F-8F7B-480F-9DD2-FD57B68CF87A}">
      <dgm:prSet/>
      <dgm:spPr/>
      <dgm:t>
        <a:bodyPr/>
        <a:lstStyle/>
        <a:p>
          <a:endParaRPr lang="it-IT"/>
        </a:p>
      </dgm:t>
    </dgm:pt>
    <dgm:pt modelId="{A9F1CF14-C8AE-425B-8372-3FF22CFB54B0}" type="sibTrans" cxnId="{371AE78F-8F7B-480F-9DD2-FD57B68CF87A}">
      <dgm:prSet/>
      <dgm:spPr/>
      <dgm:t>
        <a:bodyPr/>
        <a:lstStyle/>
        <a:p>
          <a:endParaRPr lang="it-IT"/>
        </a:p>
      </dgm:t>
    </dgm:pt>
    <dgm:pt modelId="{D023A8C5-39F6-4E27-AF1E-092E4D22E99D}" type="asst">
      <dgm:prSet custT="1"/>
      <dgm:spPr/>
      <dgm:t>
        <a:bodyPr/>
        <a:lstStyle/>
        <a:p>
          <a:pPr>
            <a:lnSpc>
              <a:spcPct val="100000"/>
            </a:lnSpc>
            <a:spcAft>
              <a:spcPts val="0"/>
            </a:spcAft>
          </a:pPr>
          <a:r>
            <a:rPr lang="it-IT" sz="900"/>
            <a:t>Personale assegnato </a:t>
          </a:r>
        </a:p>
        <a:p>
          <a:pPr>
            <a:lnSpc>
              <a:spcPct val="100000"/>
            </a:lnSpc>
            <a:spcAft>
              <a:spcPts val="0"/>
            </a:spcAft>
          </a:pPr>
          <a:r>
            <a:rPr lang="it-IT" sz="900"/>
            <a:t>in supporto</a:t>
          </a:r>
        </a:p>
        <a:p>
          <a:pPr>
            <a:lnSpc>
              <a:spcPct val="100000"/>
            </a:lnSpc>
            <a:spcAft>
              <a:spcPts val="0"/>
            </a:spcAft>
          </a:pPr>
          <a:r>
            <a:rPr lang="it-IT" sz="900"/>
            <a:t>Oss  dott. Sergio</a:t>
          </a:r>
        </a:p>
      </dgm:t>
    </dgm:pt>
    <dgm:pt modelId="{AA5EC333-6511-4D0B-9C90-0E1C555DB2CE}" type="parTrans" cxnId="{5200210E-FE0D-4DEE-A69D-3B169105DEE0}">
      <dgm:prSet/>
      <dgm:spPr/>
      <dgm:t>
        <a:bodyPr/>
        <a:lstStyle/>
        <a:p>
          <a:endParaRPr lang="it-IT"/>
        </a:p>
      </dgm:t>
    </dgm:pt>
    <dgm:pt modelId="{CAF850CA-9BBC-4974-A5DE-7C46003F7A15}" type="sibTrans" cxnId="{5200210E-FE0D-4DEE-A69D-3B169105DEE0}">
      <dgm:prSet/>
      <dgm:spPr/>
      <dgm:t>
        <a:bodyPr/>
        <a:lstStyle/>
        <a:p>
          <a:endParaRPr lang="it-IT"/>
        </a:p>
      </dgm:t>
    </dgm:pt>
    <dgm:pt modelId="{C4CC0902-6042-44F2-B66F-91F3254DECDD}">
      <dgm:prSet custT="1"/>
      <dgm:spPr/>
      <dgm:t>
        <a:bodyPr/>
        <a:lstStyle/>
        <a:p>
          <a:pPr>
            <a:lnSpc>
              <a:spcPct val="100000"/>
            </a:lnSpc>
            <a:spcAft>
              <a:spcPts val="0"/>
            </a:spcAft>
          </a:pPr>
          <a:r>
            <a:rPr lang="it-IT" sz="900"/>
            <a:t>Responsabile</a:t>
          </a:r>
        </a:p>
        <a:p>
          <a:pPr>
            <a:lnSpc>
              <a:spcPct val="100000"/>
            </a:lnSpc>
            <a:spcAft>
              <a:spcPts val="0"/>
            </a:spcAft>
          </a:pPr>
          <a:r>
            <a:rPr lang="it-IT" sz="900"/>
            <a:t> del settore</a:t>
          </a:r>
        </a:p>
        <a:p>
          <a:pPr>
            <a:lnSpc>
              <a:spcPct val="100000"/>
            </a:lnSpc>
            <a:spcAft>
              <a:spcPts val="0"/>
            </a:spcAft>
          </a:pPr>
          <a:r>
            <a:rPr lang="it-IT" sz="900"/>
            <a:t>Oss dott. Sergio</a:t>
          </a:r>
        </a:p>
      </dgm:t>
    </dgm:pt>
    <dgm:pt modelId="{D1E0A66D-965B-4A7C-95B9-ADC5E9E1FD08}" type="sibTrans" cxnId="{CAD0D471-1714-44B8-BF25-3F46BE35064A}">
      <dgm:prSet/>
      <dgm:spPr/>
      <dgm:t>
        <a:bodyPr/>
        <a:lstStyle/>
        <a:p>
          <a:endParaRPr lang="it-IT"/>
        </a:p>
      </dgm:t>
    </dgm:pt>
    <dgm:pt modelId="{0912000B-D313-4AF7-8F63-6348CEFB92BE}" type="parTrans" cxnId="{CAD0D471-1714-44B8-BF25-3F46BE35064A}">
      <dgm:prSet/>
      <dgm:spPr/>
      <dgm:t>
        <a:bodyPr/>
        <a:lstStyle/>
        <a:p>
          <a:endParaRPr lang="it-IT"/>
        </a:p>
      </dgm:t>
    </dgm:pt>
    <dgm:pt modelId="{51C57B96-E6C8-49F9-8989-753DF7F7070F}">
      <dgm:prSet custT="1"/>
      <dgm:spPr/>
      <dgm:t>
        <a:bodyPr/>
        <a:lstStyle/>
        <a:p>
          <a:pPr>
            <a:lnSpc>
              <a:spcPct val="100000"/>
            </a:lnSpc>
            <a:spcAft>
              <a:spcPts val="0"/>
            </a:spcAft>
          </a:pPr>
          <a:r>
            <a:rPr lang="it-IT" sz="900"/>
            <a:t>Responsabile</a:t>
          </a:r>
        </a:p>
        <a:p>
          <a:pPr>
            <a:lnSpc>
              <a:spcPct val="100000"/>
            </a:lnSpc>
            <a:spcAft>
              <a:spcPts val="0"/>
            </a:spcAft>
          </a:pPr>
          <a:r>
            <a:rPr lang="it-IT" sz="900"/>
            <a:t>del  settore</a:t>
          </a:r>
        </a:p>
        <a:p>
          <a:pPr>
            <a:lnSpc>
              <a:spcPct val="100000"/>
            </a:lnSpc>
            <a:spcAft>
              <a:spcPts val="0"/>
            </a:spcAft>
          </a:pPr>
          <a:r>
            <a:rPr lang="it-IT" sz="900"/>
            <a:t>Agnolo geom. Giulia</a:t>
          </a:r>
        </a:p>
      </dgm:t>
    </dgm:pt>
    <dgm:pt modelId="{2A4F8FAA-CD81-4CF7-B192-45CD16B61FD0}" type="parTrans" cxnId="{43F8843A-D8D3-490D-8AD2-036CAFE792DA}">
      <dgm:prSet/>
      <dgm:spPr/>
      <dgm:t>
        <a:bodyPr/>
        <a:lstStyle/>
        <a:p>
          <a:endParaRPr lang="it-IT"/>
        </a:p>
      </dgm:t>
    </dgm:pt>
    <dgm:pt modelId="{6D9A64B0-42D1-481A-983C-930CBE195AB4}" type="sibTrans" cxnId="{43F8843A-D8D3-490D-8AD2-036CAFE792DA}">
      <dgm:prSet/>
      <dgm:spPr/>
      <dgm:t>
        <a:bodyPr/>
        <a:lstStyle/>
        <a:p>
          <a:endParaRPr lang="it-IT"/>
        </a:p>
      </dgm:t>
    </dgm:pt>
    <dgm:pt modelId="{31624C26-DFFF-4B55-9DE5-89EF96E0B36E}" type="pres">
      <dgm:prSet presAssocID="{3A268180-3AD7-4E62-BD75-5B1284C6DEFB}" presName="hierChild1" presStyleCnt="0">
        <dgm:presLayoutVars>
          <dgm:orgChart val="1"/>
          <dgm:chPref val="1"/>
          <dgm:dir/>
          <dgm:animOne val="branch"/>
          <dgm:animLvl val="lvl"/>
          <dgm:resizeHandles/>
        </dgm:presLayoutVars>
      </dgm:prSet>
      <dgm:spPr/>
    </dgm:pt>
    <dgm:pt modelId="{7442142C-E3A2-43CB-9724-4FE90FB4E16F}" type="pres">
      <dgm:prSet presAssocID="{F9C3CE6F-9884-43D6-908F-AC9E966B8F5E}" presName="hierRoot1" presStyleCnt="0">
        <dgm:presLayoutVars>
          <dgm:hierBranch val="init"/>
        </dgm:presLayoutVars>
      </dgm:prSet>
      <dgm:spPr/>
    </dgm:pt>
    <dgm:pt modelId="{57C7C3B4-20F9-42E6-8AF6-17C630BD20BB}" type="pres">
      <dgm:prSet presAssocID="{F9C3CE6F-9884-43D6-908F-AC9E966B8F5E}" presName="rootComposite1" presStyleCnt="0"/>
      <dgm:spPr/>
    </dgm:pt>
    <dgm:pt modelId="{E2A982BB-B52B-4E6C-9F5A-4DE7FBE3B042}" type="pres">
      <dgm:prSet presAssocID="{F9C3CE6F-9884-43D6-908F-AC9E966B8F5E}" presName="rootText1" presStyleLbl="node0" presStyleIdx="0" presStyleCnt="1" custScaleX="214582" custScaleY="123431">
        <dgm:presLayoutVars>
          <dgm:chPref val="3"/>
        </dgm:presLayoutVars>
      </dgm:prSet>
      <dgm:spPr/>
      <dgm:t>
        <a:bodyPr/>
        <a:lstStyle/>
        <a:p>
          <a:endParaRPr lang="it-IT"/>
        </a:p>
      </dgm:t>
    </dgm:pt>
    <dgm:pt modelId="{8B15CBDC-4C02-4042-9BD4-EC533152299D}" type="pres">
      <dgm:prSet presAssocID="{F9C3CE6F-9884-43D6-908F-AC9E966B8F5E}" presName="rootConnector1" presStyleLbl="node1" presStyleIdx="0" presStyleCnt="0"/>
      <dgm:spPr/>
    </dgm:pt>
    <dgm:pt modelId="{ABF46B75-F720-45FA-AB2E-7915E9003BD2}" type="pres">
      <dgm:prSet presAssocID="{F9C3CE6F-9884-43D6-908F-AC9E966B8F5E}" presName="hierChild2" presStyleCnt="0"/>
      <dgm:spPr/>
    </dgm:pt>
    <dgm:pt modelId="{51A41313-BE38-43F0-B406-23947837CA5A}" type="pres">
      <dgm:prSet presAssocID="{C4C146CA-8BAB-491A-98C0-3E81E03FF6F3}" presName="Name37" presStyleLbl="parChTrans1D2" presStyleIdx="0" presStyleCnt="6"/>
      <dgm:spPr/>
    </dgm:pt>
    <dgm:pt modelId="{1FB5A0EC-1663-48D7-A821-5865B5B44ED6}" type="pres">
      <dgm:prSet presAssocID="{A8F36EDE-81B6-4D65-8FCA-A4D812787008}" presName="hierRoot2" presStyleCnt="0">
        <dgm:presLayoutVars>
          <dgm:hierBranch val="init"/>
        </dgm:presLayoutVars>
      </dgm:prSet>
      <dgm:spPr/>
    </dgm:pt>
    <dgm:pt modelId="{00C4BD3F-6DF1-488F-A22D-5FE7F9D74DB3}" type="pres">
      <dgm:prSet presAssocID="{A8F36EDE-81B6-4D65-8FCA-A4D812787008}" presName="rootComposite" presStyleCnt="0"/>
      <dgm:spPr/>
    </dgm:pt>
    <dgm:pt modelId="{C23FE5A6-4922-4A9B-B060-CE96A1351C4D}" type="pres">
      <dgm:prSet presAssocID="{A8F36EDE-81B6-4D65-8FCA-A4D812787008}" presName="rootText" presStyleLbl="node2" presStyleIdx="0" presStyleCnt="4" custScaleX="111727" custLinFactNeighborX="17300" custLinFactNeighborY="2035">
        <dgm:presLayoutVars>
          <dgm:chPref val="3"/>
        </dgm:presLayoutVars>
      </dgm:prSet>
      <dgm:spPr/>
      <dgm:t>
        <a:bodyPr/>
        <a:lstStyle/>
        <a:p>
          <a:endParaRPr lang="it-IT"/>
        </a:p>
      </dgm:t>
    </dgm:pt>
    <dgm:pt modelId="{A8EF0A67-F6C6-4F8E-991F-854004BC1908}" type="pres">
      <dgm:prSet presAssocID="{A8F36EDE-81B6-4D65-8FCA-A4D812787008}" presName="rootConnector" presStyleLbl="node2" presStyleIdx="0" presStyleCnt="4"/>
      <dgm:spPr/>
    </dgm:pt>
    <dgm:pt modelId="{62178037-10EF-4009-9F96-4558D4C183F3}" type="pres">
      <dgm:prSet presAssocID="{A8F36EDE-81B6-4D65-8FCA-A4D812787008}" presName="hierChild4" presStyleCnt="0"/>
      <dgm:spPr/>
    </dgm:pt>
    <dgm:pt modelId="{5C013D1A-78CF-449D-95E5-0DF5809AE155}" type="pres">
      <dgm:prSet presAssocID="{E3C85C97-A3B4-47BD-B5D5-9C05257A5DFE}" presName="Name37" presStyleLbl="parChTrans1D3" presStyleIdx="0" presStyleCnt="4"/>
      <dgm:spPr/>
    </dgm:pt>
    <dgm:pt modelId="{49FE1B9B-24F4-435B-9F2F-A9DB74231547}" type="pres">
      <dgm:prSet presAssocID="{6BFDB0C0-58FC-4A9A-912A-18789CFF582F}" presName="hierRoot2" presStyleCnt="0">
        <dgm:presLayoutVars>
          <dgm:hierBranch val="init"/>
        </dgm:presLayoutVars>
      </dgm:prSet>
      <dgm:spPr/>
    </dgm:pt>
    <dgm:pt modelId="{3B690246-C619-4D78-8498-0BE22BEF20A9}" type="pres">
      <dgm:prSet presAssocID="{6BFDB0C0-58FC-4A9A-912A-18789CFF582F}" presName="rootComposite" presStyleCnt="0"/>
      <dgm:spPr/>
    </dgm:pt>
    <dgm:pt modelId="{69F37CDA-23C8-46C4-B2F7-C9BFA092AD80}" type="pres">
      <dgm:prSet presAssocID="{6BFDB0C0-58FC-4A9A-912A-18789CFF582F}" presName="rootText" presStyleLbl="node3" presStyleIdx="0" presStyleCnt="4" custScaleX="97753">
        <dgm:presLayoutVars>
          <dgm:chPref val="3"/>
        </dgm:presLayoutVars>
      </dgm:prSet>
      <dgm:spPr/>
    </dgm:pt>
    <dgm:pt modelId="{4C726B64-C02E-488C-A19F-352227465D49}" type="pres">
      <dgm:prSet presAssocID="{6BFDB0C0-58FC-4A9A-912A-18789CFF582F}" presName="rootConnector" presStyleLbl="node3" presStyleIdx="0" presStyleCnt="4"/>
      <dgm:spPr/>
    </dgm:pt>
    <dgm:pt modelId="{27F83ED8-9439-4B2E-B3FD-4A6989B9D074}" type="pres">
      <dgm:prSet presAssocID="{6BFDB0C0-58FC-4A9A-912A-18789CFF582F}" presName="hierChild4" presStyleCnt="0"/>
      <dgm:spPr/>
    </dgm:pt>
    <dgm:pt modelId="{647B7FED-9E3A-4225-A0C3-ADAC1E5C98E4}" type="pres">
      <dgm:prSet presAssocID="{6BFDB0C0-58FC-4A9A-912A-18789CFF582F}" presName="hierChild5" presStyleCnt="0"/>
      <dgm:spPr/>
    </dgm:pt>
    <dgm:pt modelId="{879AB2EF-E5EF-429B-AE38-33FA5087A7E0}" type="pres">
      <dgm:prSet presAssocID="{A8F36EDE-81B6-4D65-8FCA-A4D812787008}" presName="hierChild5" presStyleCnt="0"/>
      <dgm:spPr/>
    </dgm:pt>
    <dgm:pt modelId="{D7494A73-0130-4AC3-8B5E-B6BB6711F3FE}" type="pres">
      <dgm:prSet presAssocID="{685ED212-E855-4185-933E-C14F2F0C779A}" presName="Name37" presStyleLbl="parChTrans1D2" presStyleIdx="1" presStyleCnt="6"/>
      <dgm:spPr/>
    </dgm:pt>
    <dgm:pt modelId="{6255B813-A2A5-4B56-B6D4-FC8B0CBB8056}" type="pres">
      <dgm:prSet presAssocID="{9FA38E8B-B064-4322-B183-C752A67AE031}" presName="hierRoot2" presStyleCnt="0">
        <dgm:presLayoutVars>
          <dgm:hierBranch val="init"/>
        </dgm:presLayoutVars>
      </dgm:prSet>
      <dgm:spPr/>
    </dgm:pt>
    <dgm:pt modelId="{945FBA19-1500-40F5-BB93-0C414AD970EC}" type="pres">
      <dgm:prSet presAssocID="{9FA38E8B-B064-4322-B183-C752A67AE031}" presName="rootComposite" presStyleCnt="0"/>
      <dgm:spPr/>
    </dgm:pt>
    <dgm:pt modelId="{0D18DC26-74F1-47BD-8BDD-F03F4D14BE23}" type="pres">
      <dgm:prSet presAssocID="{9FA38E8B-B064-4322-B183-C752A67AE031}" presName="rootText" presStyleLbl="node2" presStyleIdx="1" presStyleCnt="4">
        <dgm:presLayoutVars>
          <dgm:chPref val="3"/>
        </dgm:presLayoutVars>
      </dgm:prSet>
      <dgm:spPr/>
      <dgm:t>
        <a:bodyPr/>
        <a:lstStyle/>
        <a:p>
          <a:endParaRPr lang="it-IT"/>
        </a:p>
      </dgm:t>
    </dgm:pt>
    <dgm:pt modelId="{62F2D948-2DEE-4D7B-AE8F-30E529161691}" type="pres">
      <dgm:prSet presAssocID="{9FA38E8B-B064-4322-B183-C752A67AE031}" presName="rootConnector" presStyleLbl="node2" presStyleIdx="1" presStyleCnt="4"/>
      <dgm:spPr/>
    </dgm:pt>
    <dgm:pt modelId="{FC3593EC-5C3F-416E-B407-4A4770CBE893}" type="pres">
      <dgm:prSet presAssocID="{9FA38E8B-B064-4322-B183-C752A67AE031}" presName="hierChild4" presStyleCnt="0"/>
      <dgm:spPr/>
    </dgm:pt>
    <dgm:pt modelId="{3A576B29-34E1-410A-891A-340FF4E16491}" type="pres">
      <dgm:prSet presAssocID="{02BAF389-C736-47AD-AC6D-4BDD2ACB5371}" presName="Name37" presStyleLbl="parChTrans1D3" presStyleIdx="1" presStyleCnt="4"/>
      <dgm:spPr/>
    </dgm:pt>
    <dgm:pt modelId="{0082A4C5-4D36-4AE0-944E-EBC7CCCF7EF6}" type="pres">
      <dgm:prSet presAssocID="{BFF715E1-79BC-4EE5-B39B-F728A80EE0FC}" presName="hierRoot2" presStyleCnt="0">
        <dgm:presLayoutVars>
          <dgm:hierBranch val="init"/>
        </dgm:presLayoutVars>
      </dgm:prSet>
      <dgm:spPr/>
    </dgm:pt>
    <dgm:pt modelId="{B714B5FC-9F12-4ACF-95A5-9E60F76FAE0E}" type="pres">
      <dgm:prSet presAssocID="{BFF715E1-79BC-4EE5-B39B-F728A80EE0FC}" presName="rootComposite" presStyleCnt="0"/>
      <dgm:spPr/>
    </dgm:pt>
    <dgm:pt modelId="{3F78E4EA-72CC-45A1-B5BB-E8F411995D0C}" type="pres">
      <dgm:prSet presAssocID="{BFF715E1-79BC-4EE5-B39B-F728A80EE0FC}" presName="rootText" presStyleLbl="node3" presStyleIdx="1" presStyleCnt="4" custScaleX="123360">
        <dgm:presLayoutVars>
          <dgm:chPref val="3"/>
        </dgm:presLayoutVars>
      </dgm:prSet>
      <dgm:spPr/>
      <dgm:t>
        <a:bodyPr/>
        <a:lstStyle/>
        <a:p>
          <a:endParaRPr lang="it-IT"/>
        </a:p>
      </dgm:t>
    </dgm:pt>
    <dgm:pt modelId="{20ED86B2-B312-4121-8454-441315A229CB}" type="pres">
      <dgm:prSet presAssocID="{BFF715E1-79BC-4EE5-B39B-F728A80EE0FC}" presName="rootConnector" presStyleLbl="node3" presStyleIdx="1" presStyleCnt="4"/>
      <dgm:spPr/>
    </dgm:pt>
    <dgm:pt modelId="{DAFFCC8A-0E29-4139-AA15-53BD35155AAB}" type="pres">
      <dgm:prSet presAssocID="{BFF715E1-79BC-4EE5-B39B-F728A80EE0FC}" presName="hierChild4" presStyleCnt="0"/>
      <dgm:spPr/>
    </dgm:pt>
    <dgm:pt modelId="{7EE806D9-36B8-4FC6-AB30-08913EDB1472}" type="pres">
      <dgm:prSet presAssocID="{BFF715E1-79BC-4EE5-B39B-F728A80EE0FC}" presName="hierChild5" presStyleCnt="0"/>
      <dgm:spPr/>
    </dgm:pt>
    <dgm:pt modelId="{49E0722B-6D2C-424C-9DE4-2E00D9ED0C8E}" type="pres">
      <dgm:prSet presAssocID="{AA5EC333-6511-4D0B-9C90-0E1C555DB2CE}" presName="Name111" presStyleLbl="parChTrans1D4" presStyleIdx="0" presStyleCnt="1"/>
      <dgm:spPr/>
    </dgm:pt>
    <dgm:pt modelId="{96F0DE5D-5F3C-4860-95E9-B96E3AD62D72}" type="pres">
      <dgm:prSet presAssocID="{D023A8C5-39F6-4E27-AF1E-092E4D22E99D}" presName="hierRoot3" presStyleCnt="0">
        <dgm:presLayoutVars>
          <dgm:hierBranch val="init"/>
        </dgm:presLayoutVars>
      </dgm:prSet>
      <dgm:spPr/>
    </dgm:pt>
    <dgm:pt modelId="{07FDCAF5-9DF3-47E1-9A91-64ED0CB0CF6A}" type="pres">
      <dgm:prSet presAssocID="{D023A8C5-39F6-4E27-AF1E-092E4D22E99D}" presName="rootComposite3" presStyleCnt="0"/>
      <dgm:spPr/>
    </dgm:pt>
    <dgm:pt modelId="{2EF93580-0D9A-434B-8925-B6EDFDD7FEA0}" type="pres">
      <dgm:prSet presAssocID="{D023A8C5-39F6-4E27-AF1E-092E4D22E99D}" presName="rootText3" presStyleLbl="asst3" presStyleIdx="0" presStyleCnt="1" custScaleX="155069" custLinFactNeighborX="-9438" custLinFactNeighborY="8596">
        <dgm:presLayoutVars>
          <dgm:chPref val="3"/>
        </dgm:presLayoutVars>
      </dgm:prSet>
      <dgm:spPr/>
      <dgm:t>
        <a:bodyPr/>
        <a:lstStyle/>
        <a:p>
          <a:endParaRPr lang="it-IT"/>
        </a:p>
      </dgm:t>
    </dgm:pt>
    <dgm:pt modelId="{D309C495-0F78-4107-B8BA-AC730860D243}" type="pres">
      <dgm:prSet presAssocID="{D023A8C5-39F6-4E27-AF1E-092E4D22E99D}" presName="rootConnector3" presStyleLbl="asst3" presStyleIdx="0" presStyleCnt="1"/>
      <dgm:spPr/>
    </dgm:pt>
    <dgm:pt modelId="{C442E108-A112-43A9-B3E3-41ABD6CED8E8}" type="pres">
      <dgm:prSet presAssocID="{D023A8C5-39F6-4E27-AF1E-092E4D22E99D}" presName="hierChild6" presStyleCnt="0"/>
      <dgm:spPr/>
    </dgm:pt>
    <dgm:pt modelId="{93432120-3646-48F4-92B6-2C8B27235D54}" type="pres">
      <dgm:prSet presAssocID="{D023A8C5-39F6-4E27-AF1E-092E4D22E99D}" presName="hierChild7" presStyleCnt="0"/>
      <dgm:spPr/>
    </dgm:pt>
    <dgm:pt modelId="{8317EB8A-8DCE-4B34-994C-2C2CC2DBD727}" type="pres">
      <dgm:prSet presAssocID="{9FA38E8B-B064-4322-B183-C752A67AE031}" presName="hierChild5" presStyleCnt="0"/>
      <dgm:spPr/>
    </dgm:pt>
    <dgm:pt modelId="{9DF93B51-329F-4AEB-98F3-C1BB0D656AD9}" type="pres">
      <dgm:prSet presAssocID="{22FA6674-C9DC-4C31-A2DC-080644044F25}" presName="Name37" presStyleLbl="parChTrans1D2" presStyleIdx="2" presStyleCnt="6"/>
      <dgm:spPr/>
    </dgm:pt>
    <dgm:pt modelId="{6912212A-C27E-44CB-B838-6C87954C8C41}" type="pres">
      <dgm:prSet presAssocID="{C316E2F2-AFE2-43ED-8A67-59C6514C7BAC}" presName="hierRoot2" presStyleCnt="0">
        <dgm:presLayoutVars>
          <dgm:hierBranch val="init"/>
        </dgm:presLayoutVars>
      </dgm:prSet>
      <dgm:spPr/>
    </dgm:pt>
    <dgm:pt modelId="{08E89CF5-096A-472A-B1AF-D51BF22B15C9}" type="pres">
      <dgm:prSet presAssocID="{C316E2F2-AFE2-43ED-8A67-59C6514C7BAC}" presName="rootComposite" presStyleCnt="0"/>
      <dgm:spPr/>
    </dgm:pt>
    <dgm:pt modelId="{C47A12CA-4E2D-4AC3-9ECB-3A13315A4A1B}" type="pres">
      <dgm:prSet presAssocID="{C316E2F2-AFE2-43ED-8A67-59C6514C7BAC}" presName="rootText" presStyleLbl="node2" presStyleIdx="2" presStyleCnt="4">
        <dgm:presLayoutVars>
          <dgm:chPref val="3"/>
        </dgm:presLayoutVars>
      </dgm:prSet>
      <dgm:spPr/>
      <dgm:t>
        <a:bodyPr/>
        <a:lstStyle/>
        <a:p>
          <a:endParaRPr lang="it-IT"/>
        </a:p>
      </dgm:t>
    </dgm:pt>
    <dgm:pt modelId="{EC4FA664-A502-4BFC-9F95-82BFC8294D01}" type="pres">
      <dgm:prSet presAssocID="{C316E2F2-AFE2-43ED-8A67-59C6514C7BAC}" presName="rootConnector" presStyleLbl="node2" presStyleIdx="2" presStyleCnt="4"/>
      <dgm:spPr/>
    </dgm:pt>
    <dgm:pt modelId="{42D9E566-1E7F-4C9D-A545-319700F1B42D}" type="pres">
      <dgm:prSet presAssocID="{C316E2F2-AFE2-43ED-8A67-59C6514C7BAC}" presName="hierChild4" presStyleCnt="0"/>
      <dgm:spPr/>
    </dgm:pt>
    <dgm:pt modelId="{6E6B80D6-FC17-495B-84BE-2BA760A783A8}" type="pres">
      <dgm:prSet presAssocID="{0912000B-D313-4AF7-8F63-6348CEFB92BE}" presName="Name37" presStyleLbl="parChTrans1D3" presStyleIdx="2" presStyleCnt="4"/>
      <dgm:spPr/>
    </dgm:pt>
    <dgm:pt modelId="{B5CECA49-8A83-4670-9393-D0B2F93A3220}" type="pres">
      <dgm:prSet presAssocID="{C4CC0902-6042-44F2-B66F-91F3254DECDD}" presName="hierRoot2" presStyleCnt="0">
        <dgm:presLayoutVars>
          <dgm:hierBranch val="init"/>
        </dgm:presLayoutVars>
      </dgm:prSet>
      <dgm:spPr/>
    </dgm:pt>
    <dgm:pt modelId="{59E175CF-8EF5-4F11-AF87-9AA30427C8B7}" type="pres">
      <dgm:prSet presAssocID="{C4CC0902-6042-44F2-B66F-91F3254DECDD}" presName="rootComposite" presStyleCnt="0"/>
      <dgm:spPr/>
    </dgm:pt>
    <dgm:pt modelId="{F99093D4-3EED-4DE4-B6FB-902818AB1282}" type="pres">
      <dgm:prSet presAssocID="{C4CC0902-6042-44F2-B66F-91F3254DECDD}" presName="rootText" presStyleLbl="node3" presStyleIdx="2" presStyleCnt="4" custScaleX="114928" custLinFactNeighborX="1647" custLinFactNeighborY="-1098">
        <dgm:presLayoutVars>
          <dgm:chPref val="3"/>
        </dgm:presLayoutVars>
      </dgm:prSet>
      <dgm:spPr/>
      <dgm:t>
        <a:bodyPr/>
        <a:lstStyle/>
        <a:p>
          <a:endParaRPr lang="it-IT"/>
        </a:p>
      </dgm:t>
    </dgm:pt>
    <dgm:pt modelId="{FC09E1B6-C110-48CE-814D-B77033BCB934}" type="pres">
      <dgm:prSet presAssocID="{C4CC0902-6042-44F2-B66F-91F3254DECDD}" presName="rootConnector" presStyleLbl="node3" presStyleIdx="2" presStyleCnt="4"/>
      <dgm:spPr/>
    </dgm:pt>
    <dgm:pt modelId="{607B52D6-DB12-44D8-AD46-4A862CABC787}" type="pres">
      <dgm:prSet presAssocID="{C4CC0902-6042-44F2-B66F-91F3254DECDD}" presName="hierChild4" presStyleCnt="0"/>
      <dgm:spPr/>
    </dgm:pt>
    <dgm:pt modelId="{7646543E-E059-4CFD-AB80-B7A02D980084}" type="pres">
      <dgm:prSet presAssocID="{C4CC0902-6042-44F2-B66F-91F3254DECDD}" presName="hierChild5" presStyleCnt="0"/>
      <dgm:spPr/>
    </dgm:pt>
    <dgm:pt modelId="{A373A64F-FF82-4958-A1CE-BFC48285AADB}" type="pres">
      <dgm:prSet presAssocID="{C316E2F2-AFE2-43ED-8A67-59C6514C7BAC}" presName="hierChild5" presStyleCnt="0"/>
      <dgm:spPr/>
    </dgm:pt>
    <dgm:pt modelId="{686CCEF7-C68C-405A-910B-F72A33DC7456}" type="pres">
      <dgm:prSet presAssocID="{4E84F27B-05A0-461B-AE34-477C74D8735E}" presName="Name37" presStyleLbl="parChTrans1D2" presStyleIdx="3" presStyleCnt="6"/>
      <dgm:spPr/>
    </dgm:pt>
    <dgm:pt modelId="{740575FC-F2DB-4D1B-A1E3-06105D5102AC}" type="pres">
      <dgm:prSet presAssocID="{3411A824-C96C-423A-BF56-1258283770C1}" presName="hierRoot2" presStyleCnt="0">
        <dgm:presLayoutVars>
          <dgm:hierBranch val="init"/>
        </dgm:presLayoutVars>
      </dgm:prSet>
      <dgm:spPr/>
    </dgm:pt>
    <dgm:pt modelId="{3ED25420-9FAE-43CF-8C9D-459B350CC168}" type="pres">
      <dgm:prSet presAssocID="{3411A824-C96C-423A-BF56-1258283770C1}" presName="rootComposite" presStyleCnt="0"/>
      <dgm:spPr/>
    </dgm:pt>
    <dgm:pt modelId="{B2678F06-B3D5-4F8D-8ADF-6458014AECF5}" type="pres">
      <dgm:prSet presAssocID="{3411A824-C96C-423A-BF56-1258283770C1}" presName="rootText" presStyleLbl="node2" presStyleIdx="3" presStyleCnt="4">
        <dgm:presLayoutVars>
          <dgm:chPref val="3"/>
        </dgm:presLayoutVars>
      </dgm:prSet>
      <dgm:spPr/>
    </dgm:pt>
    <dgm:pt modelId="{3BE480C5-697E-4700-95CC-E2211D931DDB}" type="pres">
      <dgm:prSet presAssocID="{3411A824-C96C-423A-BF56-1258283770C1}" presName="rootConnector" presStyleLbl="node2" presStyleIdx="3" presStyleCnt="4"/>
      <dgm:spPr/>
    </dgm:pt>
    <dgm:pt modelId="{8BF5FC16-9D38-4422-AF5F-81D58337A224}" type="pres">
      <dgm:prSet presAssocID="{3411A824-C96C-423A-BF56-1258283770C1}" presName="hierChild4" presStyleCnt="0"/>
      <dgm:spPr/>
    </dgm:pt>
    <dgm:pt modelId="{9F0E71AB-CFB1-47FE-B9AD-DB64ED27F822}" type="pres">
      <dgm:prSet presAssocID="{2A4F8FAA-CD81-4CF7-B192-45CD16B61FD0}" presName="Name37" presStyleLbl="parChTrans1D3" presStyleIdx="3" presStyleCnt="4"/>
      <dgm:spPr/>
    </dgm:pt>
    <dgm:pt modelId="{BD57A90E-58F6-4E0A-A8E9-714CCAD3BF2B}" type="pres">
      <dgm:prSet presAssocID="{51C57B96-E6C8-49F9-8989-753DF7F7070F}" presName="hierRoot2" presStyleCnt="0">
        <dgm:presLayoutVars>
          <dgm:hierBranch val="init"/>
        </dgm:presLayoutVars>
      </dgm:prSet>
      <dgm:spPr/>
    </dgm:pt>
    <dgm:pt modelId="{DF9EBB15-F016-446F-A863-744A08CB9FA2}" type="pres">
      <dgm:prSet presAssocID="{51C57B96-E6C8-49F9-8989-753DF7F7070F}" presName="rootComposite" presStyleCnt="0"/>
      <dgm:spPr/>
    </dgm:pt>
    <dgm:pt modelId="{6148C0B6-3BE8-4D17-8304-2205A1D9BF48}" type="pres">
      <dgm:prSet presAssocID="{51C57B96-E6C8-49F9-8989-753DF7F7070F}" presName="rootText" presStyleLbl="node3" presStyleIdx="3" presStyleCnt="4" custScaleX="114928">
        <dgm:presLayoutVars>
          <dgm:chPref val="3"/>
        </dgm:presLayoutVars>
      </dgm:prSet>
      <dgm:spPr/>
      <dgm:t>
        <a:bodyPr/>
        <a:lstStyle/>
        <a:p>
          <a:endParaRPr lang="it-IT"/>
        </a:p>
      </dgm:t>
    </dgm:pt>
    <dgm:pt modelId="{5BD1599A-9674-4D0E-8B21-98162C683E6F}" type="pres">
      <dgm:prSet presAssocID="{51C57B96-E6C8-49F9-8989-753DF7F7070F}" presName="rootConnector" presStyleLbl="node3" presStyleIdx="3" presStyleCnt="4"/>
      <dgm:spPr/>
    </dgm:pt>
    <dgm:pt modelId="{5243D34F-DB4E-4049-ADBD-BDF0452C9F34}" type="pres">
      <dgm:prSet presAssocID="{51C57B96-E6C8-49F9-8989-753DF7F7070F}" presName="hierChild4" presStyleCnt="0"/>
      <dgm:spPr/>
    </dgm:pt>
    <dgm:pt modelId="{859BE0BA-1B89-4418-BD4C-7D41376A7C3E}" type="pres">
      <dgm:prSet presAssocID="{51C57B96-E6C8-49F9-8989-753DF7F7070F}" presName="hierChild5" presStyleCnt="0"/>
      <dgm:spPr/>
    </dgm:pt>
    <dgm:pt modelId="{13358FAA-F572-4DC2-885C-5F7EB7B88F04}" type="pres">
      <dgm:prSet presAssocID="{3411A824-C96C-423A-BF56-1258283770C1}" presName="hierChild5" presStyleCnt="0"/>
      <dgm:spPr/>
    </dgm:pt>
    <dgm:pt modelId="{FD852DE7-4DC4-481B-B1FB-6B787A94934E}" type="pres">
      <dgm:prSet presAssocID="{F9C3CE6F-9884-43D6-908F-AC9E966B8F5E}" presName="hierChild3" presStyleCnt="0"/>
      <dgm:spPr/>
    </dgm:pt>
    <dgm:pt modelId="{A1885106-FD47-4CD9-B85B-EB15D6A3395C}" type="pres">
      <dgm:prSet presAssocID="{0B36BDB7-B9B3-45CC-B8BB-8BC9AF832E97}" presName="Name111" presStyleLbl="parChTrans1D2" presStyleIdx="4" presStyleCnt="6"/>
      <dgm:spPr/>
      <dgm:t>
        <a:bodyPr/>
        <a:lstStyle/>
        <a:p>
          <a:endParaRPr lang="it-IT"/>
        </a:p>
      </dgm:t>
    </dgm:pt>
    <dgm:pt modelId="{7CE09AD5-C7E6-47FC-9C9D-539EFB8BE587}" type="pres">
      <dgm:prSet presAssocID="{5AE9BF18-1977-465F-B951-1A00DD8DD597}" presName="hierRoot3" presStyleCnt="0">
        <dgm:presLayoutVars>
          <dgm:hierBranch val="init"/>
        </dgm:presLayoutVars>
      </dgm:prSet>
      <dgm:spPr/>
    </dgm:pt>
    <dgm:pt modelId="{10D003D0-DEC5-482C-BFD7-6529E3691096}" type="pres">
      <dgm:prSet presAssocID="{5AE9BF18-1977-465F-B951-1A00DD8DD597}" presName="rootComposite3" presStyleCnt="0"/>
      <dgm:spPr/>
    </dgm:pt>
    <dgm:pt modelId="{090DD42F-57DC-4907-A3DC-F7722F861B3A}" type="pres">
      <dgm:prSet presAssocID="{5AE9BF18-1977-465F-B951-1A00DD8DD597}" presName="rootText3" presStyleLbl="asst1" presStyleIdx="0" presStyleCnt="2" custScaleX="200891" custScaleY="135981" custLinFactNeighborX="-6851" custLinFactNeighborY="-17618">
        <dgm:presLayoutVars>
          <dgm:chPref val="3"/>
        </dgm:presLayoutVars>
      </dgm:prSet>
      <dgm:spPr/>
      <dgm:t>
        <a:bodyPr/>
        <a:lstStyle/>
        <a:p>
          <a:endParaRPr lang="it-IT"/>
        </a:p>
      </dgm:t>
    </dgm:pt>
    <dgm:pt modelId="{9B03427A-41D2-486C-A3F0-88BE94EED8DF}" type="pres">
      <dgm:prSet presAssocID="{5AE9BF18-1977-465F-B951-1A00DD8DD597}" presName="rootConnector3" presStyleLbl="asst1" presStyleIdx="0" presStyleCnt="2"/>
      <dgm:spPr/>
    </dgm:pt>
    <dgm:pt modelId="{243C66BC-0B8B-41DD-9DF6-EBCC8217487B}" type="pres">
      <dgm:prSet presAssocID="{5AE9BF18-1977-465F-B951-1A00DD8DD597}" presName="hierChild6" presStyleCnt="0"/>
      <dgm:spPr/>
    </dgm:pt>
    <dgm:pt modelId="{ADC8845F-EB93-4A02-8BB1-53ED6E3017AC}" type="pres">
      <dgm:prSet presAssocID="{5AE9BF18-1977-465F-B951-1A00DD8DD597}" presName="hierChild7" presStyleCnt="0"/>
      <dgm:spPr/>
    </dgm:pt>
    <dgm:pt modelId="{EC8435C6-1EF2-4583-BF2E-F37B9490386B}" type="pres">
      <dgm:prSet presAssocID="{698C74AD-DE54-4F3F-828A-ACB13AA165AA}" presName="Name111" presStyleLbl="parChTrans1D2" presStyleIdx="5" presStyleCnt="6"/>
      <dgm:spPr/>
    </dgm:pt>
    <dgm:pt modelId="{EE83A133-FC9A-4D7C-BBD3-0685C07D4ABA}" type="pres">
      <dgm:prSet presAssocID="{56167E4A-CB4A-4993-AD0B-BB9E20B8D0FB}" presName="hierRoot3" presStyleCnt="0">
        <dgm:presLayoutVars>
          <dgm:hierBranch val="init"/>
        </dgm:presLayoutVars>
      </dgm:prSet>
      <dgm:spPr/>
    </dgm:pt>
    <dgm:pt modelId="{058708A7-CB7D-4F0F-8500-18F183C97EC0}" type="pres">
      <dgm:prSet presAssocID="{56167E4A-CB4A-4993-AD0B-BB9E20B8D0FB}" presName="rootComposite3" presStyleCnt="0"/>
      <dgm:spPr/>
    </dgm:pt>
    <dgm:pt modelId="{7CF08F41-5111-4830-9078-62364593DEBD}" type="pres">
      <dgm:prSet presAssocID="{56167E4A-CB4A-4993-AD0B-BB9E20B8D0FB}" presName="rootText3" presStyleLbl="asst1" presStyleIdx="1" presStyleCnt="2" custScaleX="179472" custScaleY="135249" custLinFactNeighborX="2725" custLinFactNeighborY="-11460">
        <dgm:presLayoutVars>
          <dgm:chPref val="3"/>
        </dgm:presLayoutVars>
      </dgm:prSet>
      <dgm:spPr/>
      <dgm:t>
        <a:bodyPr/>
        <a:lstStyle/>
        <a:p>
          <a:endParaRPr lang="it-IT"/>
        </a:p>
      </dgm:t>
    </dgm:pt>
    <dgm:pt modelId="{103FBEFA-3293-4D6D-9FFB-183D07758F3C}" type="pres">
      <dgm:prSet presAssocID="{56167E4A-CB4A-4993-AD0B-BB9E20B8D0FB}" presName="rootConnector3" presStyleLbl="asst1" presStyleIdx="1" presStyleCnt="2"/>
      <dgm:spPr/>
    </dgm:pt>
    <dgm:pt modelId="{B511BFCB-DE68-4EBA-AF5F-5BE53BAA169E}" type="pres">
      <dgm:prSet presAssocID="{56167E4A-CB4A-4993-AD0B-BB9E20B8D0FB}" presName="hierChild6" presStyleCnt="0"/>
      <dgm:spPr/>
    </dgm:pt>
    <dgm:pt modelId="{60CF52E5-77BE-48E4-893C-B80995ADCC05}" type="pres">
      <dgm:prSet presAssocID="{56167E4A-CB4A-4993-AD0B-BB9E20B8D0FB}" presName="hierChild7" presStyleCnt="0"/>
      <dgm:spPr/>
    </dgm:pt>
  </dgm:ptLst>
  <dgm:cxnLst>
    <dgm:cxn modelId="{D460C87E-9E6E-44B0-9D14-DDBA03801F6C}" type="presOf" srcId="{56167E4A-CB4A-4993-AD0B-BB9E20B8D0FB}" destId="{7CF08F41-5111-4830-9078-62364593DEBD}" srcOrd="0" destOrd="0" presId="urn:microsoft.com/office/officeart/2005/8/layout/orgChart1"/>
    <dgm:cxn modelId="{F7F1D5B5-65DE-484E-9A7E-32DDC7537DE4}" type="presOf" srcId="{C4CC0902-6042-44F2-B66F-91F3254DECDD}" destId="{FC09E1B6-C110-48CE-814D-B77033BCB934}" srcOrd="1" destOrd="0" presId="urn:microsoft.com/office/officeart/2005/8/layout/orgChart1"/>
    <dgm:cxn modelId="{16982C7E-66F9-4BD1-A572-8BD737733FAA}" type="presOf" srcId="{9FA38E8B-B064-4322-B183-C752A67AE031}" destId="{0D18DC26-74F1-47BD-8BDD-F03F4D14BE23}" srcOrd="0" destOrd="0" presId="urn:microsoft.com/office/officeart/2005/8/layout/orgChart1"/>
    <dgm:cxn modelId="{E5170448-527E-4F40-8716-17FB829A398A}" type="presOf" srcId="{4E84F27B-05A0-461B-AE34-477C74D8735E}" destId="{686CCEF7-C68C-405A-910B-F72A33DC7456}" srcOrd="0" destOrd="0" presId="urn:microsoft.com/office/officeart/2005/8/layout/orgChart1"/>
    <dgm:cxn modelId="{33A8BD48-A7EA-41DA-983A-C72CBF0808A7}" type="presOf" srcId="{C4CC0902-6042-44F2-B66F-91F3254DECDD}" destId="{F99093D4-3EED-4DE4-B6FB-902818AB1282}" srcOrd="0" destOrd="0" presId="urn:microsoft.com/office/officeart/2005/8/layout/orgChart1"/>
    <dgm:cxn modelId="{5200210E-FE0D-4DEE-A69D-3B169105DEE0}" srcId="{BFF715E1-79BC-4EE5-B39B-F728A80EE0FC}" destId="{D023A8C5-39F6-4E27-AF1E-092E4D22E99D}" srcOrd="0" destOrd="0" parTransId="{AA5EC333-6511-4D0B-9C90-0E1C555DB2CE}" sibTransId="{CAF850CA-9BBC-4974-A5DE-7C46003F7A15}"/>
    <dgm:cxn modelId="{43EB6CFF-AB1D-4808-9DB4-51411B16EEF9}" type="presOf" srcId="{5AE9BF18-1977-465F-B951-1A00DD8DD597}" destId="{090DD42F-57DC-4907-A3DC-F7722F861B3A}" srcOrd="0" destOrd="0" presId="urn:microsoft.com/office/officeart/2005/8/layout/orgChart1"/>
    <dgm:cxn modelId="{6FE40524-78F1-4D43-9C69-118A3F235F44}" srcId="{3A268180-3AD7-4E62-BD75-5B1284C6DEFB}" destId="{F9C3CE6F-9884-43D6-908F-AC9E966B8F5E}" srcOrd="0" destOrd="0" parTransId="{414EE2C0-1AD4-483E-A802-E39C0717CA76}" sibTransId="{78F06483-7F49-4A3E-8990-6FF1C21E3DAC}"/>
    <dgm:cxn modelId="{7C922598-0CD0-4BFD-8D0E-D0D5C38B479D}" type="presOf" srcId="{3411A824-C96C-423A-BF56-1258283770C1}" destId="{3BE480C5-697E-4700-95CC-E2211D931DDB}" srcOrd="1" destOrd="0" presId="urn:microsoft.com/office/officeart/2005/8/layout/orgChart1"/>
    <dgm:cxn modelId="{DBC21F45-D5EE-4F88-A522-F011AC2467D3}" type="presOf" srcId="{9FA38E8B-B064-4322-B183-C752A67AE031}" destId="{62F2D948-2DEE-4D7B-AE8F-30E529161691}" srcOrd="1" destOrd="0" presId="urn:microsoft.com/office/officeart/2005/8/layout/orgChart1"/>
    <dgm:cxn modelId="{29B95685-7AF7-41FF-A0B9-EEF59806E738}" type="presOf" srcId="{02BAF389-C736-47AD-AC6D-4BDD2ACB5371}" destId="{3A576B29-34E1-410A-891A-340FF4E16491}" srcOrd="0" destOrd="0" presId="urn:microsoft.com/office/officeart/2005/8/layout/orgChart1"/>
    <dgm:cxn modelId="{50C845C3-71A2-40B1-8F77-634F1FDBF584}" type="presOf" srcId="{BFF715E1-79BC-4EE5-B39B-F728A80EE0FC}" destId="{3F78E4EA-72CC-45A1-B5BB-E8F411995D0C}" srcOrd="0" destOrd="0" presId="urn:microsoft.com/office/officeart/2005/8/layout/orgChart1"/>
    <dgm:cxn modelId="{01F5DBC0-1A65-41DE-A620-9656409DBCF4}" srcId="{F9C3CE6F-9884-43D6-908F-AC9E966B8F5E}" destId="{C316E2F2-AFE2-43ED-8A67-59C6514C7BAC}" srcOrd="3" destOrd="0" parTransId="{22FA6674-C9DC-4C31-A2DC-080644044F25}" sibTransId="{7353ED32-8388-454D-8469-50C585ABF842}"/>
    <dgm:cxn modelId="{827A402F-AF85-4384-A41B-8915817171E5}" type="presOf" srcId="{698C74AD-DE54-4F3F-828A-ACB13AA165AA}" destId="{EC8435C6-1EF2-4583-BF2E-F37B9490386B}" srcOrd="0" destOrd="0" presId="urn:microsoft.com/office/officeart/2005/8/layout/orgChart1"/>
    <dgm:cxn modelId="{667541FA-F4DC-4698-8688-AE698A4F3303}" type="presOf" srcId="{2A4F8FAA-CD81-4CF7-B192-45CD16B61FD0}" destId="{9F0E71AB-CFB1-47FE-B9AD-DB64ED27F822}" srcOrd="0" destOrd="0" presId="urn:microsoft.com/office/officeart/2005/8/layout/orgChart1"/>
    <dgm:cxn modelId="{2B2BAD5E-C949-4B21-9E34-8453C725483F}" type="presOf" srcId="{5AE9BF18-1977-465F-B951-1A00DD8DD597}" destId="{9B03427A-41D2-486C-A3F0-88BE94EED8DF}" srcOrd="1" destOrd="0" presId="urn:microsoft.com/office/officeart/2005/8/layout/orgChart1"/>
    <dgm:cxn modelId="{8D46E5A1-A6FE-4BB9-BC2E-50C5361B3BE4}" srcId="{F9C3CE6F-9884-43D6-908F-AC9E966B8F5E}" destId="{A8F36EDE-81B6-4D65-8FCA-A4D812787008}" srcOrd="1" destOrd="0" parTransId="{C4C146CA-8BAB-491A-98C0-3E81E03FF6F3}" sibTransId="{B4E23E46-DE3D-4F7C-A87A-C9DBEB5AD711}"/>
    <dgm:cxn modelId="{04D988CE-6663-4C2A-9D3B-EA1EDC02D1E2}" type="presOf" srcId="{D023A8C5-39F6-4E27-AF1E-092E4D22E99D}" destId="{D309C495-0F78-4107-B8BA-AC730860D243}" srcOrd="1" destOrd="0" presId="urn:microsoft.com/office/officeart/2005/8/layout/orgChart1"/>
    <dgm:cxn modelId="{55EC699C-9102-4E4D-BD5D-972D364213A4}" type="presOf" srcId="{F9C3CE6F-9884-43D6-908F-AC9E966B8F5E}" destId="{8B15CBDC-4C02-4042-9BD4-EC533152299D}" srcOrd="1" destOrd="0" presId="urn:microsoft.com/office/officeart/2005/8/layout/orgChart1"/>
    <dgm:cxn modelId="{5FE9270C-EA97-451F-BCE8-3750D37F8AEF}" type="presOf" srcId="{F9C3CE6F-9884-43D6-908F-AC9E966B8F5E}" destId="{E2A982BB-B52B-4E6C-9F5A-4DE7FBE3B042}" srcOrd="0" destOrd="0" presId="urn:microsoft.com/office/officeart/2005/8/layout/orgChart1"/>
    <dgm:cxn modelId="{371AE78F-8F7B-480F-9DD2-FD57B68CF87A}" srcId="{9FA38E8B-B064-4322-B183-C752A67AE031}" destId="{BFF715E1-79BC-4EE5-B39B-F728A80EE0FC}" srcOrd="0" destOrd="0" parTransId="{02BAF389-C736-47AD-AC6D-4BDD2ACB5371}" sibTransId="{A9F1CF14-C8AE-425B-8372-3FF22CFB54B0}"/>
    <dgm:cxn modelId="{1271008C-171A-4C04-8C01-6B650BEA99F2}" type="presOf" srcId="{56167E4A-CB4A-4993-AD0B-BB9E20B8D0FB}" destId="{103FBEFA-3293-4D6D-9FFB-183D07758F3C}" srcOrd="1" destOrd="0" presId="urn:microsoft.com/office/officeart/2005/8/layout/orgChart1"/>
    <dgm:cxn modelId="{13EE99E5-B798-41A0-BBA2-1B41191EAEC4}" srcId="{F9C3CE6F-9884-43D6-908F-AC9E966B8F5E}" destId="{9FA38E8B-B064-4322-B183-C752A67AE031}" srcOrd="2" destOrd="0" parTransId="{685ED212-E855-4185-933E-C14F2F0C779A}" sibTransId="{4C393806-489E-455F-B276-D6D1FD66DC62}"/>
    <dgm:cxn modelId="{118C739B-5B4F-4976-B562-5387020858BD}" srcId="{F9C3CE6F-9884-43D6-908F-AC9E966B8F5E}" destId="{56167E4A-CB4A-4993-AD0B-BB9E20B8D0FB}" srcOrd="5" destOrd="0" parTransId="{698C74AD-DE54-4F3F-828A-ACB13AA165AA}" sibTransId="{9C4509BE-AD11-4C51-AEC9-DB7A4959399E}"/>
    <dgm:cxn modelId="{55E47ADB-49B8-4803-820F-1D349C693D12}" type="presOf" srcId="{3411A824-C96C-423A-BF56-1258283770C1}" destId="{B2678F06-B3D5-4F8D-8ADF-6458014AECF5}" srcOrd="0" destOrd="0" presId="urn:microsoft.com/office/officeart/2005/8/layout/orgChart1"/>
    <dgm:cxn modelId="{FF2E9ED5-D250-4F66-B9BD-2B5F42CA1AEA}" srcId="{A8F36EDE-81B6-4D65-8FCA-A4D812787008}" destId="{6BFDB0C0-58FC-4A9A-912A-18789CFF582F}" srcOrd="0" destOrd="0" parTransId="{E3C85C97-A3B4-47BD-B5D5-9C05257A5DFE}" sibTransId="{61F09C81-88B1-48C8-8576-0AE3DDA7AF73}"/>
    <dgm:cxn modelId="{0DEC10B5-A1C9-4092-B53B-9B1D84265C0E}" type="presOf" srcId="{C316E2F2-AFE2-43ED-8A67-59C6514C7BAC}" destId="{EC4FA664-A502-4BFC-9F95-82BFC8294D01}" srcOrd="1" destOrd="0" presId="urn:microsoft.com/office/officeart/2005/8/layout/orgChart1"/>
    <dgm:cxn modelId="{B92CB610-22D5-4C22-961B-D78AC1D52FFB}" type="presOf" srcId="{BFF715E1-79BC-4EE5-B39B-F728A80EE0FC}" destId="{20ED86B2-B312-4121-8454-441315A229CB}" srcOrd="1" destOrd="0" presId="urn:microsoft.com/office/officeart/2005/8/layout/orgChart1"/>
    <dgm:cxn modelId="{2A119077-CA97-4C4B-ACF7-C43642D1D51D}" type="presOf" srcId="{AA5EC333-6511-4D0B-9C90-0E1C555DB2CE}" destId="{49E0722B-6D2C-424C-9DE4-2E00D9ED0C8E}" srcOrd="0" destOrd="0" presId="urn:microsoft.com/office/officeart/2005/8/layout/orgChart1"/>
    <dgm:cxn modelId="{58987903-008B-4A01-B7DD-38B74C601D59}" type="presOf" srcId="{22FA6674-C9DC-4C31-A2DC-080644044F25}" destId="{9DF93B51-329F-4AEB-98F3-C1BB0D656AD9}" srcOrd="0" destOrd="0" presId="urn:microsoft.com/office/officeart/2005/8/layout/orgChart1"/>
    <dgm:cxn modelId="{DB419C64-B6D6-4BDD-8A5A-39C625E7E1D0}" type="presOf" srcId="{C316E2F2-AFE2-43ED-8A67-59C6514C7BAC}" destId="{C47A12CA-4E2D-4AC3-9ECB-3A13315A4A1B}" srcOrd="0" destOrd="0" presId="urn:microsoft.com/office/officeart/2005/8/layout/orgChart1"/>
    <dgm:cxn modelId="{05F663E7-6B78-4E6A-A05B-60A7A285EE04}" type="presOf" srcId="{A8F36EDE-81B6-4D65-8FCA-A4D812787008}" destId="{A8EF0A67-F6C6-4F8E-991F-854004BC1908}" srcOrd="1" destOrd="0" presId="urn:microsoft.com/office/officeart/2005/8/layout/orgChart1"/>
    <dgm:cxn modelId="{DE6B42E8-FB98-4949-A168-B2828F9E0ADE}" type="presOf" srcId="{0912000B-D313-4AF7-8F63-6348CEFB92BE}" destId="{6E6B80D6-FC17-495B-84BE-2BA760A783A8}" srcOrd="0" destOrd="0" presId="urn:microsoft.com/office/officeart/2005/8/layout/orgChart1"/>
    <dgm:cxn modelId="{52AAF885-F45F-4164-ADB1-46B6EB171F97}" type="presOf" srcId="{3A268180-3AD7-4E62-BD75-5B1284C6DEFB}" destId="{31624C26-DFFF-4B55-9DE5-89EF96E0B36E}" srcOrd="0" destOrd="0" presId="urn:microsoft.com/office/officeart/2005/8/layout/orgChart1"/>
    <dgm:cxn modelId="{43F8843A-D8D3-490D-8AD2-036CAFE792DA}" srcId="{3411A824-C96C-423A-BF56-1258283770C1}" destId="{51C57B96-E6C8-49F9-8989-753DF7F7070F}" srcOrd="0" destOrd="0" parTransId="{2A4F8FAA-CD81-4CF7-B192-45CD16B61FD0}" sibTransId="{6D9A64B0-42D1-481A-983C-930CBE195AB4}"/>
    <dgm:cxn modelId="{01C4469A-0715-4739-BCF0-53F3BF14D691}" type="presOf" srcId="{E3C85C97-A3B4-47BD-B5D5-9C05257A5DFE}" destId="{5C013D1A-78CF-449D-95E5-0DF5809AE155}" srcOrd="0" destOrd="0" presId="urn:microsoft.com/office/officeart/2005/8/layout/orgChart1"/>
    <dgm:cxn modelId="{EC9A355E-0D81-4118-8DB3-A6BBF7BCB17D}" type="presOf" srcId="{C4C146CA-8BAB-491A-98C0-3E81E03FF6F3}" destId="{51A41313-BE38-43F0-B406-23947837CA5A}" srcOrd="0" destOrd="0" presId="urn:microsoft.com/office/officeart/2005/8/layout/orgChart1"/>
    <dgm:cxn modelId="{A903A3C6-75EA-4433-9807-5592F0077100}" type="presOf" srcId="{685ED212-E855-4185-933E-C14F2F0C779A}" destId="{D7494A73-0130-4AC3-8B5E-B6BB6711F3FE}" srcOrd="0" destOrd="0" presId="urn:microsoft.com/office/officeart/2005/8/layout/orgChart1"/>
    <dgm:cxn modelId="{D512758A-C2E4-412A-B953-0F1CD81A4CAA}" type="presOf" srcId="{6BFDB0C0-58FC-4A9A-912A-18789CFF582F}" destId="{4C726B64-C02E-488C-A19F-352227465D49}" srcOrd="1" destOrd="0" presId="urn:microsoft.com/office/officeart/2005/8/layout/orgChart1"/>
    <dgm:cxn modelId="{405692A5-B538-49C5-932B-563793A8BBBC}" type="presOf" srcId="{A8F36EDE-81B6-4D65-8FCA-A4D812787008}" destId="{C23FE5A6-4922-4A9B-B060-CE96A1351C4D}" srcOrd="0" destOrd="0" presId="urn:microsoft.com/office/officeart/2005/8/layout/orgChart1"/>
    <dgm:cxn modelId="{AE7193A6-6497-42C6-BEF8-1717C8AC3372}" srcId="{F9C3CE6F-9884-43D6-908F-AC9E966B8F5E}" destId="{5AE9BF18-1977-465F-B951-1A00DD8DD597}" srcOrd="0" destOrd="0" parTransId="{0B36BDB7-B9B3-45CC-B8BB-8BC9AF832E97}" sibTransId="{3FB508F2-C3CD-4C41-8DD5-9C9CC9416910}"/>
    <dgm:cxn modelId="{41D2F2CE-33E5-44C8-8531-FF382390E34E}" type="presOf" srcId="{0B36BDB7-B9B3-45CC-B8BB-8BC9AF832E97}" destId="{A1885106-FD47-4CD9-B85B-EB15D6A3395C}" srcOrd="0" destOrd="0" presId="urn:microsoft.com/office/officeart/2005/8/layout/orgChart1"/>
    <dgm:cxn modelId="{F058866B-443B-4CAD-973C-8E4B5C0A89D7}" srcId="{F9C3CE6F-9884-43D6-908F-AC9E966B8F5E}" destId="{3411A824-C96C-423A-BF56-1258283770C1}" srcOrd="4" destOrd="0" parTransId="{4E84F27B-05A0-461B-AE34-477C74D8735E}" sibTransId="{BC594C8D-FA1D-448F-B494-2A21E86B2994}"/>
    <dgm:cxn modelId="{EB6C3ABE-1150-4779-A6E2-63CFB0FA6D3F}" type="presOf" srcId="{51C57B96-E6C8-49F9-8989-753DF7F7070F}" destId="{5BD1599A-9674-4D0E-8B21-98162C683E6F}" srcOrd="1" destOrd="0" presId="urn:microsoft.com/office/officeart/2005/8/layout/orgChart1"/>
    <dgm:cxn modelId="{CAD0D471-1714-44B8-BF25-3F46BE35064A}" srcId="{C316E2F2-AFE2-43ED-8A67-59C6514C7BAC}" destId="{C4CC0902-6042-44F2-B66F-91F3254DECDD}" srcOrd="0" destOrd="0" parTransId="{0912000B-D313-4AF7-8F63-6348CEFB92BE}" sibTransId="{D1E0A66D-965B-4A7C-95B9-ADC5E9E1FD08}"/>
    <dgm:cxn modelId="{F8D8D3CF-F641-49CD-8AAC-0F9B6EF604D0}" type="presOf" srcId="{51C57B96-E6C8-49F9-8989-753DF7F7070F}" destId="{6148C0B6-3BE8-4D17-8304-2205A1D9BF48}" srcOrd="0" destOrd="0" presId="urn:microsoft.com/office/officeart/2005/8/layout/orgChart1"/>
    <dgm:cxn modelId="{33E8A3EE-9500-47A2-8E66-973D4B43B165}" type="presOf" srcId="{6BFDB0C0-58FC-4A9A-912A-18789CFF582F}" destId="{69F37CDA-23C8-46C4-B2F7-C9BFA092AD80}" srcOrd="0" destOrd="0" presId="urn:microsoft.com/office/officeart/2005/8/layout/orgChart1"/>
    <dgm:cxn modelId="{9D01A9A9-4FB4-477D-9DD4-B944FB4ABCFC}" type="presOf" srcId="{D023A8C5-39F6-4E27-AF1E-092E4D22E99D}" destId="{2EF93580-0D9A-434B-8925-B6EDFDD7FEA0}" srcOrd="0" destOrd="0" presId="urn:microsoft.com/office/officeart/2005/8/layout/orgChart1"/>
    <dgm:cxn modelId="{3537FAA1-9B64-4339-81B6-9DBB0F6820B3}" type="presParOf" srcId="{31624C26-DFFF-4B55-9DE5-89EF96E0B36E}" destId="{7442142C-E3A2-43CB-9724-4FE90FB4E16F}" srcOrd="0" destOrd="0" presId="urn:microsoft.com/office/officeart/2005/8/layout/orgChart1"/>
    <dgm:cxn modelId="{EE62C2EA-82B4-4582-B4C8-A2758AE825DB}" type="presParOf" srcId="{7442142C-E3A2-43CB-9724-4FE90FB4E16F}" destId="{57C7C3B4-20F9-42E6-8AF6-17C630BD20BB}" srcOrd="0" destOrd="0" presId="urn:microsoft.com/office/officeart/2005/8/layout/orgChart1"/>
    <dgm:cxn modelId="{26D93D27-196B-4BFD-B01B-179D211D32FF}" type="presParOf" srcId="{57C7C3B4-20F9-42E6-8AF6-17C630BD20BB}" destId="{E2A982BB-B52B-4E6C-9F5A-4DE7FBE3B042}" srcOrd="0" destOrd="0" presId="urn:microsoft.com/office/officeart/2005/8/layout/orgChart1"/>
    <dgm:cxn modelId="{3A5DDB9B-F14C-4E94-AC3C-34B59104F099}" type="presParOf" srcId="{57C7C3B4-20F9-42E6-8AF6-17C630BD20BB}" destId="{8B15CBDC-4C02-4042-9BD4-EC533152299D}" srcOrd="1" destOrd="0" presId="urn:microsoft.com/office/officeart/2005/8/layout/orgChart1"/>
    <dgm:cxn modelId="{399F51C3-BD2B-4C41-86B4-C5AC644034E1}" type="presParOf" srcId="{7442142C-E3A2-43CB-9724-4FE90FB4E16F}" destId="{ABF46B75-F720-45FA-AB2E-7915E9003BD2}" srcOrd="1" destOrd="0" presId="urn:microsoft.com/office/officeart/2005/8/layout/orgChart1"/>
    <dgm:cxn modelId="{626B56FB-71D9-4F32-8EBF-DD5349F75830}" type="presParOf" srcId="{ABF46B75-F720-45FA-AB2E-7915E9003BD2}" destId="{51A41313-BE38-43F0-B406-23947837CA5A}" srcOrd="0" destOrd="0" presId="urn:microsoft.com/office/officeart/2005/8/layout/orgChart1"/>
    <dgm:cxn modelId="{FB79F4B5-9185-4760-9032-D80525FFBBD7}" type="presParOf" srcId="{ABF46B75-F720-45FA-AB2E-7915E9003BD2}" destId="{1FB5A0EC-1663-48D7-A821-5865B5B44ED6}" srcOrd="1" destOrd="0" presId="urn:microsoft.com/office/officeart/2005/8/layout/orgChart1"/>
    <dgm:cxn modelId="{0D6EA93E-77D7-491E-AEF5-E883600A7B49}" type="presParOf" srcId="{1FB5A0EC-1663-48D7-A821-5865B5B44ED6}" destId="{00C4BD3F-6DF1-488F-A22D-5FE7F9D74DB3}" srcOrd="0" destOrd="0" presId="urn:microsoft.com/office/officeart/2005/8/layout/orgChart1"/>
    <dgm:cxn modelId="{5593A935-DA8D-494E-8643-2DECDE651C68}" type="presParOf" srcId="{00C4BD3F-6DF1-488F-A22D-5FE7F9D74DB3}" destId="{C23FE5A6-4922-4A9B-B060-CE96A1351C4D}" srcOrd="0" destOrd="0" presId="urn:microsoft.com/office/officeart/2005/8/layout/orgChart1"/>
    <dgm:cxn modelId="{E48D52E5-6B5B-4CD3-B90B-F00AE6D79FC7}" type="presParOf" srcId="{00C4BD3F-6DF1-488F-A22D-5FE7F9D74DB3}" destId="{A8EF0A67-F6C6-4F8E-991F-854004BC1908}" srcOrd="1" destOrd="0" presId="urn:microsoft.com/office/officeart/2005/8/layout/orgChart1"/>
    <dgm:cxn modelId="{27376442-3014-4426-AC9D-88D24BEEFE29}" type="presParOf" srcId="{1FB5A0EC-1663-48D7-A821-5865B5B44ED6}" destId="{62178037-10EF-4009-9F96-4558D4C183F3}" srcOrd="1" destOrd="0" presId="urn:microsoft.com/office/officeart/2005/8/layout/orgChart1"/>
    <dgm:cxn modelId="{F23FF56F-10B5-4FA2-9733-CDC0BEBA08C9}" type="presParOf" srcId="{62178037-10EF-4009-9F96-4558D4C183F3}" destId="{5C013D1A-78CF-449D-95E5-0DF5809AE155}" srcOrd="0" destOrd="0" presId="urn:microsoft.com/office/officeart/2005/8/layout/orgChart1"/>
    <dgm:cxn modelId="{F20E44D7-EEA8-4DDD-AD52-E5C6F9E4ABFF}" type="presParOf" srcId="{62178037-10EF-4009-9F96-4558D4C183F3}" destId="{49FE1B9B-24F4-435B-9F2F-A9DB74231547}" srcOrd="1" destOrd="0" presId="urn:microsoft.com/office/officeart/2005/8/layout/orgChart1"/>
    <dgm:cxn modelId="{EB55EA2E-C78B-494A-85D9-014C5E8D860D}" type="presParOf" srcId="{49FE1B9B-24F4-435B-9F2F-A9DB74231547}" destId="{3B690246-C619-4D78-8498-0BE22BEF20A9}" srcOrd="0" destOrd="0" presId="urn:microsoft.com/office/officeart/2005/8/layout/orgChart1"/>
    <dgm:cxn modelId="{6BA56D35-C932-49D5-9AE4-57451F16C8EA}" type="presParOf" srcId="{3B690246-C619-4D78-8498-0BE22BEF20A9}" destId="{69F37CDA-23C8-46C4-B2F7-C9BFA092AD80}" srcOrd="0" destOrd="0" presId="urn:microsoft.com/office/officeart/2005/8/layout/orgChart1"/>
    <dgm:cxn modelId="{A0CFB927-37C9-4D87-820F-5A6F8F77EC94}" type="presParOf" srcId="{3B690246-C619-4D78-8498-0BE22BEF20A9}" destId="{4C726B64-C02E-488C-A19F-352227465D49}" srcOrd="1" destOrd="0" presId="urn:microsoft.com/office/officeart/2005/8/layout/orgChart1"/>
    <dgm:cxn modelId="{F8990782-9751-460C-8293-D617DC108698}" type="presParOf" srcId="{49FE1B9B-24F4-435B-9F2F-A9DB74231547}" destId="{27F83ED8-9439-4B2E-B3FD-4A6989B9D074}" srcOrd="1" destOrd="0" presId="urn:microsoft.com/office/officeart/2005/8/layout/orgChart1"/>
    <dgm:cxn modelId="{54182140-814E-4D01-BC76-79B0F89CAA62}" type="presParOf" srcId="{49FE1B9B-24F4-435B-9F2F-A9DB74231547}" destId="{647B7FED-9E3A-4225-A0C3-ADAC1E5C98E4}" srcOrd="2" destOrd="0" presId="urn:microsoft.com/office/officeart/2005/8/layout/orgChart1"/>
    <dgm:cxn modelId="{4FDEA675-3FB3-467D-B951-AC84D27097E3}" type="presParOf" srcId="{1FB5A0EC-1663-48D7-A821-5865B5B44ED6}" destId="{879AB2EF-E5EF-429B-AE38-33FA5087A7E0}" srcOrd="2" destOrd="0" presId="urn:microsoft.com/office/officeart/2005/8/layout/orgChart1"/>
    <dgm:cxn modelId="{DCEEE1B6-588F-42DB-AE69-6A199D36BF7E}" type="presParOf" srcId="{ABF46B75-F720-45FA-AB2E-7915E9003BD2}" destId="{D7494A73-0130-4AC3-8B5E-B6BB6711F3FE}" srcOrd="2" destOrd="0" presId="urn:microsoft.com/office/officeart/2005/8/layout/orgChart1"/>
    <dgm:cxn modelId="{B23A5185-9BA5-4C2C-B60D-DC8C621C3E24}" type="presParOf" srcId="{ABF46B75-F720-45FA-AB2E-7915E9003BD2}" destId="{6255B813-A2A5-4B56-B6D4-FC8B0CBB8056}" srcOrd="3" destOrd="0" presId="urn:microsoft.com/office/officeart/2005/8/layout/orgChart1"/>
    <dgm:cxn modelId="{1D5B9D7F-C4A8-4BFD-B483-BFF587D35D17}" type="presParOf" srcId="{6255B813-A2A5-4B56-B6D4-FC8B0CBB8056}" destId="{945FBA19-1500-40F5-BB93-0C414AD970EC}" srcOrd="0" destOrd="0" presId="urn:microsoft.com/office/officeart/2005/8/layout/orgChart1"/>
    <dgm:cxn modelId="{A488F521-CE95-4FAF-9E71-BA02390DF805}" type="presParOf" srcId="{945FBA19-1500-40F5-BB93-0C414AD970EC}" destId="{0D18DC26-74F1-47BD-8BDD-F03F4D14BE23}" srcOrd="0" destOrd="0" presId="urn:microsoft.com/office/officeart/2005/8/layout/orgChart1"/>
    <dgm:cxn modelId="{8CD385A8-7594-4F2E-BDCC-DEF7BD4C7F47}" type="presParOf" srcId="{945FBA19-1500-40F5-BB93-0C414AD970EC}" destId="{62F2D948-2DEE-4D7B-AE8F-30E529161691}" srcOrd="1" destOrd="0" presId="urn:microsoft.com/office/officeart/2005/8/layout/orgChart1"/>
    <dgm:cxn modelId="{6CEC5074-ED16-4694-8B63-E8AAE715E904}" type="presParOf" srcId="{6255B813-A2A5-4B56-B6D4-FC8B0CBB8056}" destId="{FC3593EC-5C3F-416E-B407-4A4770CBE893}" srcOrd="1" destOrd="0" presId="urn:microsoft.com/office/officeart/2005/8/layout/orgChart1"/>
    <dgm:cxn modelId="{383E0CD1-60F7-4208-BEEE-5D6FF6D645BF}" type="presParOf" srcId="{FC3593EC-5C3F-416E-B407-4A4770CBE893}" destId="{3A576B29-34E1-410A-891A-340FF4E16491}" srcOrd="0" destOrd="0" presId="urn:microsoft.com/office/officeart/2005/8/layout/orgChart1"/>
    <dgm:cxn modelId="{414746D9-CEF0-4943-9480-F832ECA5891F}" type="presParOf" srcId="{FC3593EC-5C3F-416E-B407-4A4770CBE893}" destId="{0082A4C5-4D36-4AE0-944E-EBC7CCCF7EF6}" srcOrd="1" destOrd="0" presId="urn:microsoft.com/office/officeart/2005/8/layout/orgChart1"/>
    <dgm:cxn modelId="{C0515BDF-621D-4DA6-960B-305A43B33B76}" type="presParOf" srcId="{0082A4C5-4D36-4AE0-944E-EBC7CCCF7EF6}" destId="{B714B5FC-9F12-4ACF-95A5-9E60F76FAE0E}" srcOrd="0" destOrd="0" presId="urn:microsoft.com/office/officeart/2005/8/layout/orgChart1"/>
    <dgm:cxn modelId="{9CEB779B-AB5B-4820-9F4B-67AD37345DEF}" type="presParOf" srcId="{B714B5FC-9F12-4ACF-95A5-9E60F76FAE0E}" destId="{3F78E4EA-72CC-45A1-B5BB-E8F411995D0C}" srcOrd="0" destOrd="0" presId="urn:microsoft.com/office/officeart/2005/8/layout/orgChart1"/>
    <dgm:cxn modelId="{B60C0592-1AF7-4A80-8233-9A84CEB8E119}" type="presParOf" srcId="{B714B5FC-9F12-4ACF-95A5-9E60F76FAE0E}" destId="{20ED86B2-B312-4121-8454-441315A229CB}" srcOrd="1" destOrd="0" presId="urn:microsoft.com/office/officeart/2005/8/layout/orgChart1"/>
    <dgm:cxn modelId="{90969505-7069-4E69-ABD6-A1318078AD2B}" type="presParOf" srcId="{0082A4C5-4D36-4AE0-944E-EBC7CCCF7EF6}" destId="{DAFFCC8A-0E29-4139-AA15-53BD35155AAB}" srcOrd="1" destOrd="0" presId="urn:microsoft.com/office/officeart/2005/8/layout/orgChart1"/>
    <dgm:cxn modelId="{F9ABABBC-FA60-4C6B-98A2-E012602B8747}" type="presParOf" srcId="{0082A4C5-4D36-4AE0-944E-EBC7CCCF7EF6}" destId="{7EE806D9-36B8-4FC6-AB30-08913EDB1472}" srcOrd="2" destOrd="0" presId="urn:microsoft.com/office/officeart/2005/8/layout/orgChart1"/>
    <dgm:cxn modelId="{962A409B-453B-4AA8-BED8-FF22A5028806}" type="presParOf" srcId="{7EE806D9-36B8-4FC6-AB30-08913EDB1472}" destId="{49E0722B-6D2C-424C-9DE4-2E00D9ED0C8E}" srcOrd="0" destOrd="0" presId="urn:microsoft.com/office/officeart/2005/8/layout/orgChart1"/>
    <dgm:cxn modelId="{12460BA1-14D1-42F0-8374-0B122D833DDA}" type="presParOf" srcId="{7EE806D9-36B8-4FC6-AB30-08913EDB1472}" destId="{96F0DE5D-5F3C-4860-95E9-B96E3AD62D72}" srcOrd="1" destOrd="0" presId="urn:microsoft.com/office/officeart/2005/8/layout/orgChart1"/>
    <dgm:cxn modelId="{88DA827B-4553-451F-9CE9-6165237AAA09}" type="presParOf" srcId="{96F0DE5D-5F3C-4860-95E9-B96E3AD62D72}" destId="{07FDCAF5-9DF3-47E1-9A91-64ED0CB0CF6A}" srcOrd="0" destOrd="0" presId="urn:microsoft.com/office/officeart/2005/8/layout/orgChart1"/>
    <dgm:cxn modelId="{34F9E00C-9FD9-4E85-9AB5-76CFEF5BB217}" type="presParOf" srcId="{07FDCAF5-9DF3-47E1-9A91-64ED0CB0CF6A}" destId="{2EF93580-0D9A-434B-8925-B6EDFDD7FEA0}" srcOrd="0" destOrd="0" presId="urn:microsoft.com/office/officeart/2005/8/layout/orgChart1"/>
    <dgm:cxn modelId="{4A05B477-FFF9-4C42-9D90-42C4F05007A6}" type="presParOf" srcId="{07FDCAF5-9DF3-47E1-9A91-64ED0CB0CF6A}" destId="{D309C495-0F78-4107-B8BA-AC730860D243}" srcOrd="1" destOrd="0" presId="urn:microsoft.com/office/officeart/2005/8/layout/orgChart1"/>
    <dgm:cxn modelId="{02A367AA-8101-4B03-BBCF-C10A3240C5E2}" type="presParOf" srcId="{96F0DE5D-5F3C-4860-95E9-B96E3AD62D72}" destId="{C442E108-A112-43A9-B3E3-41ABD6CED8E8}" srcOrd="1" destOrd="0" presId="urn:microsoft.com/office/officeart/2005/8/layout/orgChart1"/>
    <dgm:cxn modelId="{71A19F0B-5568-44F8-9004-69D61B92A856}" type="presParOf" srcId="{96F0DE5D-5F3C-4860-95E9-B96E3AD62D72}" destId="{93432120-3646-48F4-92B6-2C8B27235D54}" srcOrd="2" destOrd="0" presId="urn:microsoft.com/office/officeart/2005/8/layout/orgChart1"/>
    <dgm:cxn modelId="{57C96435-6E2A-4FAD-BC9B-7930C912A5E3}" type="presParOf" srcId="{6255B813-A2A5-4B56-B6D4-FC8B0CBB8056}" destId="{8317EB8A-8DCE-4B34-994C-2C2CC2DBD727}" srcOrd="2" destOrd="0" presId="urn:microsoft.com/office/officeart/2005/8/layout/orgChart1"/>
    <dgm:cxn modelId="{91EFCBC2-4315-48F0-ABCA-A84D5A08B80F}" type="presParOf" srcId="{ABF46B75-F720-45FA-AB2E-7915E9003BD2}" destId="{9DF93B51-329F-4AEB-98F3-C1BB0D656AD9}" srcOrd="4" destOrd="0" presId="urn:microsoft.com/office/officeart/2005/8/layout/orgChart1"/>
    <dgm:cxn modelId="{BF7F5B0D-2D1C-4E5E-AA3F-EF2DAA5CE0D4}" type="presParOf" srcId="{ABF46B75-F720-45FA-AB2E-7915E9003BD2}" destId="{6912212A-C27E-44CB-B838-6C87954C8C41}" srcOrd="5" destOrd="0" presId="urn:microsoft.com/office/officeart/2005/8/layout/orgChart1"/>
    <dgm:cxn modelId="{BF36D62E-3C1E-4EA4-BFCD-C37A1D6BCF4E}" type="presParOf" srcId="{6912212A-C27E-44CB-B838-6C87954C8C41}" destId="{08E89CF5-096A-472A-B1AF-D51BF22B15C9}" srcOrd="0" destOrd="0" presId="urn:microsoft.com/office/officeart/2005/8/layout/orgChart1"/>
    <dgm:cxn modelId="{4327122C-248D-4098-8758-565800D7587A}" type="presParOf" srcId="{08E89CF5-096A-472A-B1AF-D51BF22B15C9}" destId="{C47A12CA-4E2D-4AC3-9ECB-3A13315A4A1B}" srcOrd="0" destOrd="0" presId="urn:microsoft.com/office/officeart/2005/8/layout/orgChart1"/>
    <dgm:cxn modelId="{A9825EAB-C221-4A6B-9080-3663DF2A6B41}" type="presParOf" srcId="{08E89CF5-096A-472A-B1AF-D51BF22B15C9}" destId="{EC4FA664-A502-4BFC-9F95-82BFC8294D01}" srcOrd="1" destOrd="0" presId="urn:microsoft.com/office/officeart/2005/8/layout/orgChart1"/>
    <dgm:cxn modelId="{D321ABFF-7F99-4EA4-8228-980ABA9EC4BA}" type="presParOf" srcId="{6912212A-C27E-44CB-B838-6C87954C8C41}" destId="{42D9E566-1E7F-4C9D-A545-319700F1B42D}" srcOrd="1" destOrd="0" presId="urn:microsoft.com/office/officeart/2005/8/layout/orgChart1"/>
    <dgm:cxn modelId="{2E0CA4BD-AC69-4D23-8593-100E04D5BB1B}" type="presParOf" srcId="{42D9E566-1E7F-4C9D-A545-319700F1B42D}" destId="{6E6B80D6-FC17-495B-84BE-2BA760A783A8}" srcOrd="0" destOrd="0" presId="urn:microsoft.com/office/officeart/2005/8/layout/orgChart1"/>
    <dgm:cxn modelId="{44A2B7BE-798B-41C0-A161-4BA5713AC198}" type="presParOf" srcId="{42D9E566-1E7F-4C9D-A545-319700F1B42D}" destId="{B5CECA49-8A83-4670-9393-D0B2F93A3220}" srcOrd="1" destOrd="0" presId="urn:microsoft.com/office/officeart/2005/8/layout/orgChart1"/>
    <dgm:cxn modelId="{C2E3305E-C584-479C-8F34-E96515D16623}" type="presParOf" srcId="{B5CECA49-8A83-4670-9393-D0B2F93A3220}" destId="{59E175CF-8EF5-4F11-AF87-9AA30427C8B7}" srcOrd="0" destOrd="0" presId="urn:microsoft.com/office/officeart/2005/8/layout/orgChart1"/>
    <dgm:cxn modelId="{D144B6D8-8C0A-4C6B-B937-6CE82F177583}" type="presParOf" srcId="{59E175CF-8EF5-4F11-AF87-9AA30427C8B7}" destId="{F99093D4-3EED-4DE4-B6FB-902818AB1282}" srcOrd="0" destOrd="0" presId="urn:microsoft.com/office/officeart/2005/8/layout/orgChart1"/>
    <dgm:cxn modelId="{A12DBED5-BB2B-4F2D-A089-8E1E2EED5660}" type="presParOf" srcId="{59E175CF-8EF5-4F11-AF87-9AA30427C8B7}" destId="{FC09E1B6-C110-48CE-814D-B77033BCB934}" srcOrd="1" destOrd="0" presId="urn:microsoft.com/office/officeart/2005/8/layout/orgChart1"/>
    <dgm:cxn modelId="{4B1D84DD-2715-4A66-AB14-99AD0A1785AD}" type="presParOf" srcId="{B5CECA49-8A83-4670-9393-D0B2F93A3220}" destId="{607B52D6-DB12-44D8-AD46-4A862CABC787}" srcOrd="1" destOrd="0" presId="urn:microsoft.com/office/officeart/2005/8/layout/orgChart1"/>
    <dgm:cxn modelId="{68E1677D-6238-4495-BB50-791A7D8589A2}" type="presParOf" srcId="{B5CECA49-8A83-4670-9393-D0B2F93A3220}" destId="{7646543E-E059-4CFD-AB80-B7A02D980084}" srcOrd="2" destOrd="0" presId="urn:microsoft.com/office/officeart/2005/8/layout/orgChart1"/>
    <dgm:cxn modelId="{EB252830-1BEA-4F0E-9176-5455425E4AF0}" type="presParOf" srcId="{6912212A-C27E-44CB-B838-6C87954C8C41}" destId="{A373A64F-FF82-4958-A1CE-BFC48285AADB}" srcOrd="2" destOrd="0" presId="urn:microsoft.com/office/officeart/2005/8/layout/orgChart1"/>
    <dgm:cxn modelId="{ED7F955F-52BF-4BEC-8879-486E404E77C1}" type="presParOf" srcId="{ABF46B75-F720-45FA-AB2E-7915E9003BD2}" destId="{686CCEF7-C68C-405A-910B-F72A33DC7456}" srcOrd="6" destOrd="0" presId="urn:microsoft.com/office/officeart/2005/8/layout/orgChart1"/>
    <dgm:cxn modelId="{EA539772-F0A0-473E-8D9C-28851C165007}" type="presParOf" srcId="{ABF46B75-F720-45FA-AB2E-7915E9003BD2}" destId="{740575FC-F2DB-4D1B-A1E3-06105D5102AC}" srcOrd="7" destOrd="0" presId="urn:microsoft.com/office/officeart/2005/8/layout/orgChart1"/>
    <dgm:cxn modelId="{550B0C4C-D836-44A4-8C1D-275D010E00C9}" type="presParOf" srcId="{740575FC-F2DB-4D1B-A1E3-06105D5102AC}" destId="{3ED25420-9FAE-43CF-8C9D-459B350CC168}" srcOrd="0" destOrd="0" presId="urn:microsoft.com/office/officeart/2005/8/layout/orgChart1"/>
    <dgm:cxn modelId="{6639D7CD-E132-4CE2-BA61-668F8AA0A8C9}" type="presParOf" srcId="{3ED25420-9FAE-43CF-8C9D-459B350CC168}" destId="{B2678F06-B3D5-4F8D-8ADF-6458014AECF5}" srcOrd="0" destOrd="0" presId="urn:microsoft.com/office/officeart/2005/8/layout/orgChart1"/>
    <dgm:cxn modelId="{92AC8692-8041-4103-92E2-B7F93CC061B2}" type="presParOf" srcId="{3ED25420-9FAE-43CF-8C9D-459B350CC168}" destId="{3BE480C5-697E-4700-95CC-E2211D931DDB}" srcOrd="1" destOrd="0" presId="urn:microsoft.com/office/officeart/2005/8/layout/orgChart1"/>
    <dgm:cxn modelId="{8260C295-9661-40BF-89D4-74C8384FB2D9}" type="presParOf" srcId="{740575FC-F2DB-4D1B-A1E3-06105D5102AC}" destId="{8BF5FC16-9D38-4422-AF5F-81D58337A224}" srcOrd="1" destOrd="0" presId="urn:microsoft.com/office/officeart/2005/8/layout/orgChart1"/>
    <dgm:cxn modelId="{492CEB9E-A972-4151-B8BF-BAF96DC0374C}" type="presParOf" srcId="{8BF5FC16-9D38-4422-AF5F-81D58337A224}" destId="{9F0E71AB-CFB1-47FE-B9AD-DB64ED27F822}" srcOrd="0" destOrd="0" presId="urn:microsoft.com/office/officeart/2005/8/layout/orgChart1"/>
    <dgm:cxn modelId="{579C56B8-4D41-4748-B068-D6A170734851}" type="presParOf" srcId="{8BF5FC16-9D38-4422-AF5F-81D58337A224}" destId="{BD57A90E-58F6-4E0A-A8E9-714CCAD3BF2B}" srcOrd="1" destOrd="0" presId="urn:microsoft.com/office/officeart/2005/8/layout/orgChart1"/>
    <dgm:cxn modelId="{8BA483DB-7E86-404F-AB47-85F81727F9DF}" type="presParOf" srcId="{BD57A90E-58F6-4E0A-A8E9-714CCAD3BF2B}" destId="{DF9EBB15-F016-446F-A863-744A08CB9FA2}" srcOrd="0" destOrd="0" presId="urn:microsoft.com/office/officeart/2005/8/layout/orgChart1"/>
    <dgm:cxn modelId="{75287747-F435-4509-9FD4-4617FD02775F}" type="presParOf" srcId="{DF9EBB15-F016-446F-A863-744A08CB9FA2}" destId="{6148C0B6-3BE8-4D17-8304-2205A1D9BF48}" srcOrd="0" destOrd="0" presId="urn:microsoft.com/office/officeart/2005/8/layout/orgChart1"/>
    <dgm:cxn modelId="{D9B5E552-A4A9-4467-AA86-E12C156A04F8}" type="presParOf" srcId="{DF9EBB15-F016-446F-A863-744A08CB9FA2}" destId="{5BD1599A-9674-4D0E-8B21-98162C683E6F}" srcOrd="1" destOrd="0" presId="urn:microsoft.com/office/officeart/2005/8/layout/orgChart1"/>
    <dgm:cxn modelId="{1D9A5D50-E8E3-4ABB-BABC-EB5D89A04D89}" type="presParOf" srcId="{BD57A90E-58F6-4E0A-A8E9-714CCAD3BF2B}" destId="{5243D34F-DB4E-4049-ADBD-BDF0452C9F34}" srcOrd="1" destOrd="0" presId="urn:microsoft.com/office/officeart/2005/8/layout/orgChart1"/>
    <dgm:cxn modelId="{4A57D423-8AAD-451B-822E-5CDBCEA6899A}" type="presParOf" srcId="{BD57A90E-58F6-4E0A-A8E9-714CCAD3BF2B}" destId="{859BE0BA-1B89-4418-BD4C-7D41376A7C3E}" srcOrd="2" destOrd="0" presId="urn:microsoft.com/office/officeart/2005/8/layout/orgChart1"/>
    <dgm:cxn modelId="{03F205E7-863F-4D66-B7A5-0D0FD047390D}" type="presParOf" srcId="{740575FC-F2DB-4D1B-A1E3-06105D5102AC}" destId="{13358FAA-F572-4DC2-885C-5F7EB7B88F04}" srcOrd="2" destOrd="0" presId="urn:microsoft.com/office/officeart/2005/8/layout/orgChart1"/>
    <dgm:cxn modelId="{3B48F06D-18B3-487C-8261-04CAE137E641}" type="presParOf" srcId="{7442142C-E3A2-43CB-9724-4FE90FB4E16F}" destId="{FD852DE7-4DC4-481B-B1FB-6B787A94934E}" srcOrd="2" destOrd="0" presId="urn:microsoft.com/office/officeart/2005/8/layout/orgChart1"/>
    <dgm:cxn modelId="{38C6EE5E-98C2-49F6-8D1E-A8DB7870A3D1}" type="presParOf" srcId="{FD852DE7-4DC4-481B-B1FB-6B787A94934E}" destId="{A1885106-FD47-4CD9-B85B-EB15D6A3395C}" srcOrd="0" destOrd="0" presId="urn:microsoft.com/office/officeart/2005/8/layout/orgChart1"/>
    <dgm:cxn modelId="{C8E69B1D-B5B1-472B-8FE3-A9A2EF666B1B}" type="presParOf" srcId="{FD852DE7-4DC4-481B-B1FB-6B787A94934E}" destId="{7CE09AD5-C7E6-47FC-9C9D-539EFB8BE587}" srcOrd="1" destOrd="0" presId="urn:microsoft.com/office/officeart/2005/8/layout/orgChart1"/>
    <dgm:cxn modelId="{561B0A13-C97D-4525-808F-3BC833BCBC54}" type="presParOf" srcId="{7CE09AD5-C7E6-47FC-9C9D-539EFB8BE587}" destId="{10D003D0-DEC5-482C-BFD7-6529E3691096}" srcOrd="0" destOrd="0" presId="urn:microsoft.com/office/officeart/2005/8/layout/orgChart1"/>
    <dgm:cxn modelId="{9C4FB2A0-71FE-4B13-8468-DEE0681413E5}" type="presParOf" srcId="{10D003D0-DEC5-482C-BFD7-6529E3691096}" destId="{090DD42F-57DC-4907-A3DC-F7722F861B3A}" srcOrd="0" destOrd="0" presId="urn:microsoft.com/office/officeart/2005/8/layout/orgChart1"/>
    <dgm:cxn modelId="{84BCD7A7-6506-4BB9-A1A9-FA383F411B95}" type="presParOf" srcId="{10D003D0-DEC5-482C-BFD7-6529E3691096}" destId="{9B03427A-41D2-486C-A3F0-88BE94EED8DF}" srcOrd="1" destOrd="0" presId="urn:microsoft.com/office/officeart/2005/8/layout/orgChart1"/>
    <dgm:cxn modelId="{9D78715A-318E-452F-BA57-FC70E62B808A}" type="presParOf" srcId="{7CE09AD5-C7E6-47FC-9C9D-539EFB8BE587}" destId="{243C66BC-0B8B-41DD-9DF6-EBCC8217487B}" srcOrd="1" destOrd="0" presId="urn:microsoft.com/office/officeart/2005/8/layout/orgChart1"/>
    <dgm:cxn modelId="{F797BE1C-4F48-4D47-9031-23FD90588F7E}" type="presParOf" srcId="{7CE09AD5-C7E6-47FC-9C9D-539EFB8BE587}" destId="{ADC8845F-EB93-4A02-8BB1-53ED6E3017AC}" srcOrd="2" destOrd="0" presId="urn:microsoft.com/office/officeart/2005/8/layout/orgChart1"/>
    <dgm:cxn modelId="{28FF8C2A-21BD-47B4-8A59-59EDE461837B}" type="presParOf" srcId="{FD852DE7-4DC4-481B-B1FB-6B787A94934E}" destId="{EC8435C6-1EF2-4583-BF2E-F37B9490386B}" srcOrd="2" destOrd="0" presId="urn:microsoft.com/office/officeart/2005/8/layout/orgChart1"/>
    <dgm:cxn modelId="{2721AA62-3254-4A4E-ADED-118575C0D4C9}" type="presParOf" srcId="{FD852DE7-4DC4-481B-B1FB-6B787A94934E}" destId="{EE83A133-FC9A-4D7C-BBD3-0685C07D4ABA}" srcOrd="3" destOrd="0" presId="urn:microsoft.com/office/officeart/2005/8/layout/orgChart1"/>
    <dgm:cxn modelId="{CAB84373-2A38-44B4-A1DA-267C39115D7A}" type="presParOf" srcId="{EE83A133-FC9A-4D7C-BBD3-0685C07D4ABA}" destId="{058708A7-CB7D-4F0F-8500-18F183C97EC0}" srcOrd="0" destOrd="0" presId="urn:microsoft.com/office/officeart/2005/8/layout/orgChart1"/>
    <dgm:cxn modelId="{F768FD86-2824-464A-B364-534D74A78D03}" type="presParOf" srcId="{058708A7-CB7D-4F0F-8500-18F183C97EC0}" destId="{7CF08F41-5111-4830-9078-62364593DEBD}" srcOrd="0" destOrd="0" presId="urn:microsoft.com/office/officeart/2005/8/layout/orgChart1"/>
    <dgm:cxn modelId="{720971B5-3428-411A-B507-12063FB864F6}" type="presParOf" srcId="{058708A7-CB7D-4F0F-8500-18F183C97EC0}" destId="{103FBEFA-3293-4D6D-9FFB-183D07758F3C}" srcOrd="1" destOrd="0" presId="urn:microsoft.com/office/officeart/2005/8/layout/orgChart1"/>
    <dgm:cxn modelId="{D9E1F534-9E70-4FD7-AE93-83FAF83158F2}" type="presParOf" srcId="{EE83A133-FC9A-4D7C-BBD3-0685C07D4ABA}" destId="{B511BFCB-DE68-4EBA-AF5F-5BE53BAA169E}" srcOrd="1" destOrd="0" presId="urn:microsoft.com/office/officeart/2005/8/layout/orgChart1"/>
    <dgm:cxn modelId="{1484E410-B8F8-41E3-B5AD-8855D4C97423}" type="presParOf" srcId="{EE83A133-FC9A-4D7C-BBD3-0685C07D4ABA}" destId="{60CF52E5-77BE-48E4-893C-B80995ADCC0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435C6-1EF2-4583-BF2E-F37B9490386B}">
      <dsp:nvSpPr>
        <dsp:cNvPr id="0" name=""/>
        <dsp:cNvSpPr/>
      </dsp:nvSpPr>
      <dsp:spPr>
        <a:xfrm>
          <a:off x="2421339" y="837288"/>
          <a:ext cx="124246" cy="461119"/>
        </a:xfrm>
        <a:custGeom>
          <a:avLst/>
          <a:gdLst/>
          <a:ahLst/>
          <a:cxnLst/>
          <a:rect l="0" t="0" r="0" b="0"/>
          <a:pathLst>
            <a:path>
              <a:moveTo>
                <a:pt x="0" y="0"/>
              </a:moveTo>
              <a:lnTo>
                <a:pt x="0" y="461119"/>
              </a:lnTo>
              <a:lnTo>
                <a:pt x="124246" y="46111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885106-FD47-4CD9-B85B-EB15D6A3395C}">
      <dsp:nvSpPr>
        <dsp:cNvPr id="0" name=""/>
        <dsp:cNvSpPr/>
      </dsp:nvSpPr>
      <dsp:spPr>
        <a:xfrm>
          <a:off x="2258329" y="837288"/>
          <a:ext cx="163009" cy="433912"/>
        </a:xfrm>
        <a:custGeom>
          <a:avLst/>
          <a:gdLst/>
          <a:ahLst/>
          <a:cxnLst/>
          <a:rect l="0" t="0" r="0" b="0"/>
          <a:pathLst>
            <a:path>
              <a:moveTo>
                <a:pt x="163009" y="0"/>
              </a:moveTo>
              <a:lnTo>
                <a:pt x="163009" y="433912"/>
              </a:lnTo>
              <a:lnTo>
                <a:pt x="0" y="4339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E71AB-CFB1-47FE-B9AD-DB64ED27F822}">
      <dsp:nvSpPr>
        <dsp:cNvPr id="0" name=""/>
        <dsp:cNvSpPr/>
      </dsp:nvSpPr>
      <dsp:spPr>
        <a:xfrm>
          <a:off x="3996348" y="2340372"/>
          <a:ext cx="140922" cy="432162"/>
        </a:xfrm>
        <a:custGeom>
          <a:avLst/>
          <a:gdLst/>
          <a:ahLst/>
          <a:cxnLst/>
          <a:rect l="0" t="0" r="0" b="0"/>
          <a:pathLst>
            <a:path>
              <a:moveTo>
                <a:pt x="0" y="0"/>
              </a:moveTo>
              <a:lnTo>
                <a:pt x="0" y="432162"/>
              </a:lnTo>
              <a:lnTo>
                <a:pt x="140922" y="43216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CCEF7-C68C-405A-910B-F72A33DC7456}">
      <dsp:nvSpPr>
        <dsp:cNvPr id="0" name=""/>
        <dsp:cNvSpPr/>
      </dsp:nvSpPr>
      <dsp:spPr>
        <a:xfrm>
          <a:off x="2421339" y="837288"/>
          <a:ext cx="1950803" cy="1033342"/>
        </a:xfrm>
        <a:custGeom>
          <a:avLst/>
          <a:gdLst/>
          <a:ahLst/>
          <a:cxnLst/>
          <a:rect l="0" t="0" r="0" b="0"/>
          <a:pathLst>
            <a:path>
              <a:moveTo>
                <a:pt x="0" y="0"/>
              </a:moveTo>
              <a:lnTo>
                <a:pt x="0" y="934696"/>
              </a:lnTo>
              <a:lnTo>
                <a:pt x="1950803" y="934696"/>
              </a:lnTo>
              <a:lnTo>
                <a:pt x="1950803" y="10333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B80D6-FC17-495B-84BE-2BA760A783A8}">
      <dsp:nvSpPr>
        <dsp:cNvPr id="0" name=""/>
        <dsp:cNvSpPr/>
      </dsp:nvSpPr>
      <dsp:spPr>
        <a:xfrm>
          <a:off x="2719327" y="2340372"/>
          <a:ext cx="156395" cy="427004"/>
        </a:xfrm>
        <a:custGeom>
          <a:avLst/>
          <a:gdLst/>
          <a:ahLst/>
          <a:cxnLst/>
          <a:rect l="0" t="0" r="0" b="0"/>
          <a:pathLst>
            <a:path>
              <a:moveTo>
                <a:pt x="0" y="0"/>
              </a:moveTo>
              <a:lnTo>
                <a:pt x="0" y="427004"/>
              </a:lnTo>
              <a:lnTo>
                <a:pt x="156395" y="42700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93B51-329F-4AEB-98F3-C1BB0D656AD9}">
      <dsp:nvSpPr>
        <dsp:cNvPr id="0" name=""/>
        <dsp:cNvSpPr/>
      </dsp:nvSpPr>
      <dsp:spPr>
        <a:xfrm>
          <a:off x="2421339" y="837288"/>
          <a:ext cx="673782" cy="1033342"/>
        </a:xfrm>
        <a:custGeom>
          <a:avLst/>
          <a:gdLst/>
          <a:ahLst/>
          <a:cxnLst/>
          <a:rect l="0" t="0" r="0" b="0"/>
          <a:pathLst>
            <a:path>
              <a:moveTo>
                <a:pt x="0" y="0"/>
              </a:moveTo>
              <a:lnTo>
                <a:pt x="0" y="934696"/>
              </a:lnTo>
              <a:lnTo>
                <a:pt x="673782" y="934696"/>
              </a:lnTo>
              <a:lnTo>
                <a:pt x="673782" y="10333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E0722B-6D2C-424C-9DE4-2E00D9ED0C8E}">
      <dsp:nvSpPr>
        <dsp:cNvPr id="0" name=""/>
        <dsp:cNvSpPr/>
      </dsp:nvSpPr>
      <dsp:spPr>
        <a:xfrm>
          <a:off x="1771032" y="3007405"/>
          <a:ext cx="187314" cy="472541"/>
        </a:xfrm>
        <a:custGeom>
          <a:avLst/>
          <a:gdLst/>
          <a:ahLst/>
          <a:cxnLst/>
          <a:rect l="0" t="0" r="0" b="0"/>
          <a:pathLst>
            <a:path>
              <a:moveTo>
                <a:pt x="187314" y="0"/>
              </a:moveTo>
              <a:lnTo>
                <a:pt x="187314" y="472541"/>
              </a:lnTo>
              <a:lnTo>
                <a:pt x="0" y="47254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76B29-34E1-410A-891A-340FF4E16491}">
      <dsp:nvSpPr>
        <dsp:cNvPr id="0" name=""/>
        <dsp:cNvSpPr/>
      </dsp:nvSpPr>
      <dsp:spPr>
        <a:xfrm>
          <a:off x="1912626" y="2340372"/>
          <a:ext cx="91440" cy="197291"/>
        </a:xfrm>
        <a:custGeom>
          <a:avLst/>
          <a:gdLst/>
          <a:ahLst/>
          <a:cxnLst/>
          <a:rect l="0" t="0" r="0" b="0"/>
          <a:pathLst>
            <a:path>
              <a:moveTo>
                <a:pt x="45720" y="0"/>
              </a:moveTo>
              <a:lnTo>
                <a:pt x="45720" y="1972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494A73-0130-4AC3-8B5E-B6BB6711F3FE}">
      <dsp:nvSpPr>
        <dsp:cNvPr id="0" name=""/>
        <dsp:cNvSpPr/>
      </dsp:nvSpPr>
      <dsp:spPr>
        <a:xfrm>
          <a:off x="1958346" y="837288"/>
          <a:ext cx="462992" cy="1033342"/>
        </a:xfrm>
        <a:custGeom>
          <a:avLst/>
          <a:gdLst/>
          <a:ahLst/>
          <a:cxnLst/>
          <a:rect l="0" t="0" r="0" b="0"/>
          <a:pathLst>
            <a:path>
              <a:moveTo>
                <a:pt x="462992" y="0"/>
              </a:moveTo>
              <a:lnTo>
                <a:pt x="462992" y="934696"/>
              </a:lnTo>
              <a:lnTo>
                <a:pt x="0" y="934696"/>
              </a:lnTo>
              <a:lnTo>
                <a:pt x="0" y="10333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13D1A-78CF-449D-95E5-0DF5809AE155}">
      <dsp:nvSpPr>
        <dsp:cNvPr id="0" name=""/>
        <dsp:cNvSpPr/>
      </dsp:nvSpPr>
      <dsp:spPr>
        <a:xfrm>
          <a:off x="217488" y="2349931"/>
          <a:ext cx="91440" cy="422603"/>
        </a:xfrm>
        <a:custGeom>
          <a:avLst/>
          <a:gdLst/>
          <a:ahLst/>
          <a:cxnLst/>
          <a:rect l="0" t="0" r="0" b="0"/>
          <a:pathLst>
            <a:path>
              <a:moveTo>
                <a:pt x="50802" y="0"/>
              </a:moveTo>
              <a:lnTo>
                <a:pt x="45720" y="42260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41313-BE38-43F0-B406-23947837CA5A}">
      <dsp:nvSpPr>
        <dsp:cNvPr id="0" name=""/>
        <dsp:cNvSpPr/>
      </dsp:nvSpPr>
      <dsp:spPr>
        <a:xfrm>
          <a:off x="688153" y="837288"/>
          <a:ext cx="1733185" cy="1042901"/>
        </a:xfrm>
        <a:custGeom>
          <a:avLst/>
          <a:gdLst/>
          <a:ahLst/>
          <a:cxnLst/>
          <a:rect l="0" t="0" r="0" b="0"/>
          <a:pathLst>
            <a:path>
              <a:moveTo>
                <a:pt x="1733185" y="0"/>
              </a:moveTo>
              <a:lnTo>
                <a:pt x="1733185" y="944255"/>
              </a:lnTo>
              <a:lnTo>
                <a:pt x="0" y="944255"/>
              </a:lnTo>
              <a:lnTo>
                <a:pt x="0" y="104290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A982BB-B52B-4E6C-9F5A-4DE7FBE3B042}">
      <dsp:nvSpPr>
        <dsp:cNvPr id="0" name=""/>
        <dsp:cNvSpPr/>
      </dsp:nvSpPr>
      <dsp:spPr>
        <a:xfrm>
          <a:off x="1413357" y="257481"/>
          <a:ext cx="2015962" cy="57980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Segretario generale</a:t>
          </a:r>
        </a:p>
        <a:p>
          <a:pPr lvl="0" algn="ctr" defTabSz="444500">
            <a:lnSpc>
              <a:spcPct val="90000"/>
            </a:lnSpc>
            <a:spcBef>
              <a:spcPct val="0"/>
            </a:spcBef>
            <a:spcAft>
              <a:spcPct val="35000"/>
            </a:spcAft>
          </a:pPr>
          <a:r>
            <a:rPr lang="it-IT" sz="1000" kern="1200"/>
            <a:t>coordinatore</a:t>
          </a:r>
        </a:p>
        <a:p>
          <a:pPr lvl="0" algn="ctr" defTabSz="444500">
            <a:lnSpc>
              <a:spcPct val="90000"/>
            </a:lnSpc>
            <a:spcBef>
              <a:spcPct val="0"/>
            </a:spcBef>
            <a:spcAft>
              <a:spcPct val="35000"/>
            </a:spcAft>
          </a:pPr>
          <a:r>
            <a:rPr lang="it-IT" sz="1000" kern="1200"/>
            <a:t>dott.ssa Sonia Biscaro</a:t>
          </a:r>
        </a:p>
      </dsp:txBody>
      <dsp:txXfrm>
        <a:off x="1413357" y="257481"/>
        <a:ext cx="2015962" cy="579806"/>
      </dsp:txXfrm>
    </dsp:sp>
    <dsp:sp modelId="{C23FE5A6-4922-4A9B-B060-CE96A1351C4D}">
      <dsp:nvSpPr>
        <dsp:cNvPr id="0" name=""/>
        <dsp:cNvSpPr/>
      </dsp:nvSpPr>
      <dsp:spPr>
        <a:xfrm>
          <a:off x="163324" y="1880189"/>
          <a:ext cx="1049656"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SERVIZIO </a:t>
          </a:r>
        </a:p>
        <a:p>
          <a:pPr lvl="0" algn="ctr" defTabSz="400050">
            <a:lnSpc>
              <a:spcPct val="100000"/>
            </a:lnSpc>
            <a:spcBef>
              <a:spcPct val="0"/>
            </a:spcBef>
            <a:spcAft>
              <a:spcPts val="0"/>
            </a:spcAft>
          </a:pPr>
          <a:r>
            <a:rPr lang="it-IT" sz="900" kern="1200"/>
            <a:t>FINANZIARIO	</a:t>
          </a:r>
        </a:p>
      </dsp:txBody>
      <dsp:txXfrm>
        <a:off x="163324" y="1880189"/>
        <a:ext cx="1049656" cy="469741"/>
      </dsp:txXfrm>
    </dsp:sp>
    <dsp:sp modelId="{69F37CDA-23C8-46C4-B2F7-C9BFA092AD80}">
      <dsp:nvSpPr>
        <dsp:cNvPr id="0" name=""/>
        <dsp:cNvSpPr/>
      </dsp:nvSpPr>
      <dsp:spPr>
        <a:xfrm>
          <a:off x="263208" y="2537663"/>
          <a:ext cx="918373"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Responsabile </a:t>
          </a:r>
        </a:p>
        <a:p>
          <a:pPr lvl="0" algn="ctr" defTabSz="400050">
            <a:lnSpc>
              <a:spcPct val="100000"/>
            </a:lnSpc>
            <a:spcBef>
              <a:spcPct val="0"/>
            </a:spcBef>
            <a:spcAft>
              <a:spcPts val="0"/>
            </a:spcAft>
          </a:pPr>
          <a:r>
            <a:rPr lang="it-IT" sz="900" kern="1200"/>
            <a:t>del settore</a:t>
          </a:r>
        </a:p>
        <a:p>
          <a:pPr lvl="0" algn="ctr" defTabSz="400050">
            <a:lnSpc>
              <a:spcPct val="100000"/>
            </a:lnSpc>
            <a:spcBef>
              <a:spcPct val="0"/>
            </a:spcBef>
            <a:spcAft>
              <a:spcPts val="0"/>
            </a:spcAft>
          </a:pPr>
          <a:r>
            <a:rPr lang="it-IT" sz="900" kern="1200"/>
            <a:t>Cesca rag. Nadia</a:t>
          </a:r>
        </a:p>
      </dsp:txBody>
      <dsp:txXfrm>
        <a:off x="263208" y="2537663"/>
        <a:ext cx="918373" cy="469741"/>
      </dsp:txXfrm>
    </dsp:sp>
    <dsp:sp modelId="{0D18DC26-74F1-47BD-8BDD-F03F4D14BE23}">
      <dsp:nvSpPr>
        <dsp:cNvPr id="0" name=""/>
        <dsp:cNvSpPr/>
      </dsp:nvSpPr>
      <dsp:spPr>
        <a:xfrm>
          <a:off x="1488604" y="1870630"/>
          <a:ext cx="939483"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t-IT" sz="900" kern="1200"/>
            <a:t>SERVIZIO SEGRETERIA</a:t>
          </a:r>
        </a:p>
      </dsp:txBody>
      <dsp:txXfrm>
        <a:off x="1488604" y="1870630"/>
        <a:ext cx="939483" cy="469741"/>
      </dsp:txXfrm>
    </dsp:sp>
    <dsp:sp modelId="{3F78E4EA-72CC-45A1-B5BB-E8F411995D0C}">
      <dsp:nvSpPr>
        <dsp:cNvPr id="0" name=""/>
        <dsp:cNvSpPr/>
      </dsp:nvSpPr>
      <dsp:spPr>
        <a:xfrm>
          <a:off x="1378873" y="2537663"/>
          <a:ext cx="1158946"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Responsabile </a:t>
          </a:r>
        </a:p>
        <a:p>
          <a:pPr lvl="0" algn="ctr" defTabSz="400050">
            <a:lnSpc>
              <a:spcPct val="100000"/>
            </a:lnSpc>
            <a:spcBef>
              <a:spcPct val="0"/>
            </a:spcBef>
            <a:spcAft>
              <a:spcPts val="0"/>
            </a:spcAft>
          </a:pPr>
          <a:r>
            <a:rPr lang="it-IT" sz="900" kern="1200"/>
            <a:t>del settore</a:t>
          </a:r>
        </a:p>
        <a:p>
          <a:pPr lvl="0" algn="ctr" defTabSz="400050">
            <a:lnSpc>
              <a:spcPct val="100000"/>
            </a:lnSpc>
            <a:spcBef>
              <a:spcPct val="0"/>
            </a:spcBef>
            <a:spcAft>
              <a:spcPts val="0"/>
            </a:spcAft>
          </a:pPr>
          <a:r>
            <a:rPr lang="it-IT" sz="900" kern="1200"/>
            <a:t>Zampedri dott. Bruno</a:t>
          </a:r>
        </a:p>
      </dsp:txBody>
      <dsp:txXfrm>
        <a:off x="1378873" y="2537663"/>
        <a:ext cx="1158946" cy="469741"/>
      </dsp:txXfrm>
    </dsp:sp>
    <dsp:sp modelId="{2EF93580-0D9A-434B-8925-B6EDFDD7FEA0}">
      <dsp:nvSpPr>
        <dsp:cNvPr id="0" name=""/>
        <dsp:cNvSpPr/>
      </dsp:nvSpPr>
      <dsp:spPr>
        <a:xfrm>
          <a:off x="314184" y="3245075"/>
          <a:ext cx="1456847"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Personale assegnato </a:t>
          </a:r>
        </a:p>
        <a:p>
          <a:pPr lvl="0" algn="ctr" defTabSz="400050">
            <a:lnSpc>
              <a:spcPct val="100000"/>
            </a:lnSpc>
            <a:spcBef>
              <a:spcPct val="0"/>
            </a:spcBef>
            <a:spcAft>
              <a:spcPts val="0"/>
            </a:spcAft>
          </a:pPr>
          <a:r>
            <a:rPr lang="it-IT" sz="900" kern="1200"/>
            <a:t>in supporto</a:t>
          </a:r>
        </a:p>
        <a:p>
          <a:pPr lvl="0" algn="ctr" defTabSz="400050">
            <a:lnSpc>
              <a:spcPct val="100000"/>
            </a:lnSpc>
            <a:spcBef>
              <a:spcPct val="0"/>
            </a:spcBef>
            <a:spcAft>
              <a:spcPts val="0"/>
            </a:spcAft>
          </a:pPr>
          <a:r>
            <a:rPr lang="it-IT" sz="900" kern="1200"/>
            <a:t>Oss  dott. Sergio</a:t>
          </a:r>
        </a:p>
      </dsp:txBody>
      <dsp:txXfrm>
        <a:off x="314184" y="3245075"/>
        <a:ext cx="1456847" cy="469741"/>
      </dsp:txXfrm>
    </dsp:sp>
    <dsp:sp modelId="{C47A12CA-4E2D-4AC3-9ECB-3A13315A4A1B}">
      <dsp:nvSpPr>
        <dsp:cNvPr id="0" name=""/>
        <dsp:cNvSpPr/>
      </dsp:nvSpPr>
      <dsp:spPr>
        <a:xfrm>
          <a:off x="2625379" y="1870630"/>
          <a:ext cx="939483"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t-IT" sz="900" kern="1200"/>
            <a:t>SERVIZIO DEMOGRAFICO ED ALLA PERSONA</a:t>
          </a:r>
        </a:p>
      </dsp:txBody>
      <dsp:txXfrm>
        <a:off x="2625379" y="1870630"/>
        <a:ext cx="939483" cy="469741"/>
      </dsp:txXfrm>
    </dsp:sp>
    <dsp:sp modelId="{F99093D4-3EED-4DE4-B6FB-902818AB1282}">
      <dsp:nvSpPr>
        <dsp:cNvPr id="0" name=""/>
        <dsp:cNvSpPr/>
      </dsp:nvSpPr>
      <dsp:spPr>
        <a:xfrm>
          <a:off x="2875723" y="2532506"/>
          <a:ext cx="1079729"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Responsabile</a:t>
          </a:r>
        </a:p>
        <a:p>
          <a:pPr lvl="0" algn="ctr" defTabSz="400050">
            <a:lnSpc>
              <a:spcPct val="100000"/>
            </a:lnSpc>
            <a:spcBef>
              <a:spcPct val="0"/>
            </a:spcBef>
            <a:spcAft>
              <a:spcPts val="0"/>
            </a:spcAft>
          </a:pPr>
          <a:r>
            <a:rPr lang="it-IT" sz="900" kern="1200"/>
            <a:t> del settore</a:t>
          </a:r>
        </a:p>
        <a:p>
          <a:pPr lvl="0" algn="ctr" defTabSz="400050">
            <a:lnSpc>
              <a:spcPct val="100000"/>
            </a:lnSpc>
            <a:spcBef>
              <a:spcPct val="0"/>
            </a:spcBef>
            <a:spcAft>
              <a:spcPts val="0"/>
            </a:spcAft>
          </a:pPr>
          <a:r>
            <a:rPr lang="it-IT" sz="900" kern="1200"/>
            <a:t>Oss dott. Sergio</a:t>
          </a:r>
        </a:p>
      </dsp:txBody>
      <dsp:txXfrm>
        <a:off x="2875723" y="2532506"/>
        <a:ext cx="1079729" cy="469741"/>
      </dsp:txXfrm>
    </dsp:sp>
    <dsp:sp modelId="{B2678F06-B3D5-4F8D-8ADF-6458014AECF5}">
      <dsp:nvSpPr>
        <dsp:cNvPr id="0" name=""/>
        <dsp:cNvSpPr/>
      </dsp:nvSpPr>
      <dsp:spPr>
        <a:xfrm>
          <a:off x="3902400" y="1870630"/>
          <a:ext cx="939483"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t-IT" sz="900" kern="1200"/>
            <a:t>SERVIZIO TECNICO</a:t>
          </a:r>
        </a:p>
      </dsp:txBody>
      <dsp:txXfrm>
        <a:off x="3902400" y="1870630"/>
        <a:ext cx="939483" cy="469741"/>
      </dsp:txXfrm>
    </dsp:sp>
    <dsp:sp modelId="{6148C0B6-3BE8-4D17-8304-2205A1D9BF48}">
      <dsp:nvSpPr>
        <dsp:cNvPr id="0" name=""/>
        <dsp:cNvSpPr/>
      </dsp:nvSpPr>
      <dsp:spPr>
        <a:xfrm>
          <a:off x="4137271" y="2537663"/>
          <a:ext cx="1079729" cy="46974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it-IT" sz="900" kern="1200"/>
            <a:t>Responsabile</a:t>
          </a:r>
        </a:p>
        <a:p>
          <a:pPr lvl="0" algn="ctr" defTabSz="400050">
            <a:lnSpc>
              <a:spcPct val="100000"/>
            </a:lnSpc>
            <a:spcBef>
              <a:spcPct val="0"/>
            </a:spcBef>
            <a:spcAft>
              <a:spcPts val="0"/>
            </a:spcAft>
          </a:pPr>
          <a:r>
            <a:rPr lang="it-IT" sz="900" kern="1200"/>
            <a:t>del  settore</a:t>
          </a:r>
        </a:p>
        <a:p>
          <a:pPr lvl="0" algn="ctr" defTabSz="400050">
            <a:lnSpc>
              <a:spcPct val="100000"/>
            </a:lnSpc>
            <a:spcBef>
              <a:spcPct val="0"/>
            </a:spcBef>
            <a:spcAft>
              <a:spcPts val="0"/>
            </a:spcAft>
          </a:pPr>
          <a:r>
            <a:rPr lang="it-IT" sz="900" kern="1200"/>
            <a:t>Agnolo geom. Giulia</a:t>
          </a:r>
        </a:p>
      </dsp:txBody>
      <dsp:txXfrm>
        <a:off x="4137271" y="2537663"/>
        <a:ext cx="1079729" cy="469741"/>
      </dsp:txXfrm>
    </dsp:sp>
    <dsp:sp modelId="{090DD42F-57DC-4907-A3DC-F7722F861B3A}">
      <dsp:nvSpPr>
        <dsp:cNvPr id="0" name=""/>
        <dsp:cNvSpPr/>
      </dsp:nvSpPr>
      <dsp:spPr>
        <a:xfrm>
          <a:off x="370991" y="951820"/>
          <a:ext cx="1887337" cy="6387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it-IT" sz="1000" kern="1200"/>
            <a:t>Segretario dei Comuni </a:t>
          </a:r>
        </a:p>
        <a:p>
          <a:pPr lvl="0" algn="ctr" defTabSz="444500">
            <a:lnSpc>
              <a:spcPct val="100000"/>
            </a:lnSpc>
            <a:spcBef>
              <a:spcPct val="0"/>
            </a:spcBef>
            <a:spcAft>
              <a:spcPts val="0"/>
            </a:spcAft>
          </a:pPr>
          <a:r>
            <a:rPr lang="it-IT" sz="1000" kern="1200"/>
            <a:t>di Castello Tesino e Cinte Tesino</a:t>
          </a:r>
        </a:p>
        <a:p>
          <a:pPr lvl="0" algn="ctr" defTabSz="444500">
            <a:lnSpc>
              <a:spcPct val="100000"/>
            </a:lnSpc>
            <a:spcBef>
              <a:spcPct val="0"/>
            </a:spcBef>
            <a:spcAft>
              <a:spcPts val="0"/>
            </a:spcAft>
          </a:pPr>
          <a:r>
            <a:rPr lang="it-IT" sz="1000" kern="1200"/>
            <a:t>dott. Bruno Zampedri (RPCT)</a:t>
          </a:r>
        </a:p>
        <a:p>
          <a:pPr lvl="0" algn="ctr" defTabSz="444500">
            <a:lnSpc>
              <a:spcPct val="90000"/>
            </a:lnSpc>
            <a:spcBef>
              <a:spcPct val="0"/>
            </a:spcBef>
            <a:spcAft>
              <a:spcPct val="35000"/>
            </a:spcAft>
          </a:pPr>
          <a:endParaRPr lang="it-IT" sz="600" kern="1200"/>
        </a:p>
      </dsp:txBody>
      <dsp:txXfrm>
        <a:off x="370991" y="951820"/>
        <a:ext cx="1887337" cy="638759"/>
      </dsp:txXfrm>
    </dsp:sp>
    <dsp:sp modelId="{7CF08F41-5111-4830-9078-62364593DEBD}">
      <dsp:nvSpPr>
        <dsp:cNvPr id="0" name=""/>
        <dsp:cNvSpPr/>
      </dsp:nvSpPr>
      <dsp:spPr>
        <a:xfrm>
          <a:off x="2545585" y="980747"/>
          <a:ext cx="1686109" cy="63532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it-IT" sz="1000" kern="1200"/>
            <a:t>Segretario dei Comuni </a:t>
          </a:r>
        </a:p>
        <a:p>
          <a:pPr lvl="0" algn="ctr" defTabSz="444500">
            <a:lnSpc>
              <a:spcPct val="100000"/>
            </a:lnSpc>
            <a:spcBef>
              <a:spcPct val="0"/>
            </a:spcBef>
            <a:spcAft>
              <a:spcPts val="0"/>
            </a:spcAft>
          </a:pPr>
          <a:r>
            <a:rPr lang="it-IT" sz="1000" kern="1200"/>
            <a:t>di Pieve Tesino e Bieno</a:t>
          </a:r>
        </a:p>
        <a:p>
          <a:pPr lvl="0" algn="ctr" defTabSz="444500">
            <a:lnSpc>
              <a:spcPct val="100000"/>
            </a:lnSpc>
            <a:spcBef>
              <a:spcPct val="0"/>
            </a:spcBef>
            <a:spcAft>
              <a:spcPts val="0"/>
            </a:spcAft>
          </a:pPr>
          <a:r>
            <a:rPr lang="it-IT" sz="1000" kern="1200"/>
            <a:t>dott. Stefano Menguzzo</a:t>
          </a:r>
        </a:p>
      </dsp:txBody>
      <dsp:txXfrm>
        <a:off x="2545585" y="980747"/>
        <a:ext cx="1686109" cy="6353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19617</Words>
  <Characters>111817</Characters>
  <Application>Microsoft Office Word</Application>
  <DocSecurity>0</DocSecurity>
  <Lines>931</Lines>
  <Paragraphs>262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Manenti</dc:creator>
  <cp:keywords/>
  <dc:description/>
  <cp:lastModifiedBy>Sergio Oss</cp:lastModifiedBy>
  <cp:revision>2</cp:revision>
  <cp:lastPrinted>2018-01-30T09:27:00Z</cp:lastPrinted>
  <dcterms:created xsi:type="dcterms:W3CDTF">2018-01-29T07:35:00Z</dcterms:created>
  <dcterms:modified xsi:type="dcterms:W3CDTF">2018-01-30T09:27:00Z</dcterms:modified>
</cp:coreProperties>
</file>